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13AF" w:rsidRPr="00542B65" w:rsidRDefault="009613AF" w:rsidP="009613AF">
      <w:pPr>
        <w:ind w:firstLine="0"/>
        <w:jc w:val="right"/>
      </w:pPr>
      <w:r w:rsidRPr="00542B65">
        <w:t>Приложение 2</w:t>
      </w:r>
    </w:p>
    <w:p w:rsidR="009613AF" w:rsidRPr="00542B65" w:rsidRDefault="009613AF" w:rsidP="009613AF">
      <w:pPr>
        <w:ind w:firstLine="0"/>
        <w:jc w:val="center"/>
        <w:rPr>
          <w:b/>
        </w:rPr>
      </w:pPr>
    </w:p>
    <w:p w:rsidR="009613AF" w:rsidRPr="00542B65" w:rsidRDefault="009613AF" w:rsidP="009613AF">
      <w:pPr>
        <w:spacing w:line="240" w:lineRule="auto"/>
        <w:ind w:firstLine="0"/>
        <w:jc w:val="center"/>
        <w:rPr>
          <w:b/>
        </w:rPr>
      </w:pPr>
      <w:r w:rsidRPr="00542B65">
        <w:rPr>
          <w:b/>
        </w:rPr>
        <w:t xml:space="preserve">Пояснительная записка по основным параметрам </w:t>
      </w:r>
      <w:r w:rsidR="00542B65" w:rsidRPr="00542B65">
        <w:rPr>
          <w:b/>
        </w:rPr>
        <w:t xml:space="preserve">уточненного </w:t>
      </w:r>
      <w:r w:rsidRPr="00542B65">
        <w:rPr>
          <w:b/>
        </w:rPr>
        <w:t>прогноза социально-экономического развития Новгородской области на 2015 год и на плановый период 2016 и 2017 годов</w:t>
      </w:r>
    </w:p>
    <w:p w:rsidR="009613AF" w:rsidRPr="00542B65" w:rsidRDefault="009613AF" w:rsidP="009613AF">
      <w:pPr>
        <w:ind w:firstLine="0"/>
        <w:jc w:val="center"/>
        <w:rPr>
          <w:b/>
          <w:highlight w:val="yellow"/>
        </w:rPr>
      </w:pPr>
    </w:p>
    <w:p w:rsidR="00AF7AE5" w:rsidRPr="00542B65" w:rsidRDefault="009613AF" w:rsidP="009613AF">
      <w:pPr>
        <w:ind w:firstLine="0"/>
        <w:jc w:val="center"/>
        <w:rPr>
          <w:b/>
        </w:rPr>
      </w:pPr>
      <w:r w:rsidRPr="00542B65">
        <w:rPr>
          <w:b/>
        </w:rPr>
        <w:t>Общая оценка социально-экономической ситуации в регионе за отчетный период</w:t>
      </w:r>
    </w:p>
    <w:p w:rsidR="001626E0" w:rsidRPr="00542B65" w:rsidRDefault="001626E0" w:rsidP="001626E0">
      <w:pPr>
        <w:jc w:val="both"/>
        <w:rPr>
          <w:kern w:val="24"/>
        </w:rPr>
      </w:pPr>
      <w:r w:rsidRPr="00542B65">
        <w:rPr>
          <w:kern w:val="24"/>
        </w:rPr>
        <w:t>Социально-экономическая ситуация в Новгородской области благоприятная. Достигнута положительная динамика по большинству показателей экономического и социального развития.</w:t>
      </w:r>
    </w:p>
    <w:p w:rsidR="001626E0" w:rsidRPr="00542B65" w:rsidRDefault="001626E0" w:rsidP="001626E0">
      <w:pPr>
        <w:jc w:val="both"/>
        <w:rPr>
          <w:kern w:val="24"/>
        </w:rPr>
      </w:pPr>
      <w:r w:rsidRPr="00542B65">
        <w:rPr>
          <w:kern w:val="24"/>
        </w:rPr>
        <w:t>К числу показателей, позитивно характеризующих ситуацию, следует отнести:</w:t>
      </w:r>
    </w:p>
    <w:p w:rsidR="001626E0" w:rsidRPr="00542B65" w:rsidRDefault="001626E0" w:rsidP="001626E0">
      <w:pPr>
        <w:jc w:val="both"/>
        <w:rPr>
          <w:kern w:val="24"/>
        </w:rPr>
      </w:pPr>
      <w:r w:rsidRPr="00542B65">
        <w:rPr>
          <w:kern w:val="24"/>
        </w:rPr>
        <w:t>рост объема производства товаров (работ, услуг) по большинству видов экономической деятельности;</w:t>
      </w:r>
    </w:p>
    <w:p w:rsidR="001626E0" w:rsidRPr="00542B65" w:rsidRDefault="001626E0" w:rsidP="001626E0">
      <w:pPr>
        <w:jc w:val="both"/>
        <w:rPr>
          <w:kern w:val="24"/>
        </w:rPr>
      </w:pPr>
      <w:r w:rsidRPr="00542B65">
        <w:rPr>
          <w:kern w:val="24"/>
        </w:rPr>
        <w:t>увеличение ввода жилых домов;</w:t>
      </w:r>
    </w:p>
    <w:p w:rsidR="001626E0" w:rsidRPr="00542B65" w:rsidRDefault="001626E0" w:rsidP="001626E0">
      <w:pPr>
        <w:jc w:val="both"/>
        <w:rPr>
          <w:kern w:val="24"/>
        </w:rPr>
      </w:pPr>
      <w:r w:rsidRPr="00542B65">
        <w:rPr>
          <w:kern w:val="24"/>
        </w:rPr>
        <w:t>рост реальных располагаемых среднедушевых денежных доходов населения;</w:t>
      </w:r>
    </w:p>
    <w:p w:rsidR="001626E0" w:rsidRPr="00542B65" w:rsidRDefault="001626E0" w:rsidP="001626E0">
      <w:pPr>
        <w:jc w:val="both"/>
        <w:rPr>
          <w:kern w:val="24"/>
        </w:rPr>
      </w:pPr>
      <w:r w:rsidRPr="00542B65">
        <w:rPr>
          <w:kern w:val="24"/>
        </w:rPr>
        <w:t>снижение естественной убыли населения;</w:t>
      </w:r>
    </w:p>
    <w:p w:rsidR="009613AF" w:rsidRPr="00542B65" w:rsidRDefault="001626E0" w:rsidP="001626E0">
      <w:pPr>
        <w:jc w:val="both"/>
        <w:rPr>
          <w:kern w:val="24"/>
        </w:rPr>
      </w:pPr>
      <w:r w:rsidRPr="00542B65">
        <w:rPr>
          <w:kern w:val="24"/>
        </w:rPr>
        <w:t>К числу негативных тенденций в экономике области следует отнести снижение объёма работ, выполненных по виду деятельности «Строительство».</w:t>
      </w:r>
    </w:p>
    <w:p w:rsidR="009613AF" w:rsidRPr="00BF2880" w:rsidRDefault="009613AF" w:rsidP="00BF2880">
      <w:pPr>
        <w:ind w:firstLine="0"/>
        <w:jc w:val="center"/>
        <w:rPr>
          <w:b/>
        </w:rPr>
      </w:pPr>
      <w:r w:rsidRPr="00BF2880">
        <w:rPr>
          <w:b/>
        </w:rPr>
        <w:t>1. Производство валового регионального продукта</w:t>
      </w:r>
    </w:p>
    <w:p w:rsidR="009613AF" w:rsidRPr="00542B65" w:rsidRDefault="00EC1703" w:rsidP="001626E0">
      <w:pPr>
        <w:jc w:val="both"/>
        <w:rPr>
          <w:kern w:val="24"/>
          <w:highlight w:val="yellow"/>
        </w:rPr>
      </w:pPr>
      <w:r>
        <w:rPr>
          <w:kern w:val="24"/>
        </w:rPr>
        <w:t>В</w:t>
      </w:r>
      <w:r w:rsidR="00BF2880" w:rsidRPr="00BF2880">
        <w:rPr>
          <w:kern w:val="24"/>
        </w:rPr>
        <w:t>алового региональн</w:t>
      </w:r>
      <w:r>
        <w:rPr>
          <w:kern w:val="24"/>
        </w:rPr>
        <w:t>ый</w:t>
      </w:r>
      <w:r w:rsidR="00BF2880" w:rsidRPr="00BF2880">
        <w:rPr>
          <w:kern w:val="24"/>
        </w:rPr>
        <w:t xml:space="preserve"> продукт за 2013 год</w:t>
      </w:r>
      <w:r>
        <w:rPr>
          <w:kern w:val="24"/>
        </w:rPr>
        <w:t xml:space="preserve"> ожидается в объеме 179,7</w:t>
      </w:r>
      <w:r w:rsidR="00E547BB">
        <w:rPr>
          <w:kern w:val="24"/>
        </w:rPr>
        <w:t> </w:t>
      </w:r>
      <w:bookmarkStart w:id="0" w:name="_GoBack"/>
      <w:bookmarkEnd w:id="0"/>
      <w:r>
        <w:rPr>
          <w:kern w:val="24"/>
        </w:rPr>
        <w:t>млрд.</w:t>
      </w:r>
      <w:r w:rsidR="00BF2880" w:rsidRPr="00BF2880">
        <w:rPr>
          <w:kern w:val="24"/>
        </w:rPr>
        <w:t>рублей с ростом 101,</w:t>
      </w:r>
      <w:r w:rsidR="00E547BB">
        <w:rPr>
          <w:kern w:val="24"/>
        </w:rPr>
        <w:t>8</w:t>
      </w:r>
      <w:r w:rsidR="00BF2880" w:rsidRPr="00BF2880">
        <w:rPr>
          <w:kern w:val="24"/>
        </w:rPr>
        <w:t>%.</w:t>
      </w:r>
    </w:p>
    <w:p w:rsidR="009613AF" w:rsidRPr="00542B65" w:rsidRDefault="00BF2880" w:rsidP="001626E0">
      <w:pPr>
        <w:jc w:val="both"/>
        <w:rPr>
          <w:kern w:val="24"/>
          <w:highlight w:val="yellow"/>
        </w:rPr>
      </w:pPr>
      <w:r w:rsidRPr="00BF2880">
        <w:rPr>
          <w:kern w:val="24"/>
        </w:rPr>
        <w:t>Основной объем ВРП области создается в материальном производстве (54,3%). Наибольший вклад 36,0% вносит вид экономической деятельности «Обрабатывающие производства». Виды деятельности «Строительство» и «Сельское хозяйство, охота и лесное хозяйство» занимают в структуре ВРП 8,5% и 6,3% соответственно.</w:t>
      </w:r>
    </w:p>
    <w:p w:rsidR="009613AF" w:rsidRPr="00542B65" w:rsidRDefault="00BF2880" w:rsidP="001626E0">
      <w:pPr>
        <w:jc w:val="both"/>
        <w:rPr>
          <w:kern w:val="24"/>
          <w:highlight w:val="yellow"/>
        </w:rPr>
      </w:pPr>
      <w:r w:rsidRPr="00BF2880">
        <w:rPr>
          <w:kern w:val="24"/>
        </w:rPr>
        <w:t>В сфере услуг значительное место устойчиво занимают «Оптовая и розничная торговля; ремонт автотранспортных средств, мотоциклов, бытовых изделий и предметов личного пользования» 11,9% и «Транспорт и связь» 8,0%.</w:t>
      </w:r>
    </w:p>
    <w:p w:rsidR="009613AF" w:rsidRPr="00542B65" w:rsidRDefault="00BF2880" w:rsidP="001626E0">
      <w:pPr>
        <w:jc w:val="both"/>
        <w:rPr>
          <w:kern w:val="24"/>
          <w:highlight w:val="yellow"/>
        </w:rPr>
      </w:pPr>
      <w:r w:rsidRPr="00BF2880">
        <w:rPr>
          <w:kern w:val="24"/>
        </w:rPr>
        <w:t>По видам деятельности «Добыча полезных ископаемых» и «Рыболовство, рыбоводство» наблюдается наименьшая доля в структуре ВРП области – 0,3% и 0,04% соответственно. Эти виды деятельности оказывают сдерживающее влияние на рост ВРП.</w:t>
      </w:r>
    </w:p>
    <w:p w:rsidR="009613AF" w:rsidRPr="00542B65" w:rsidRDefault="00BF2880" w:rsidP="001626E0">
      <w:pPr>
        <w:jc w:val="both"/>
        <w:rPr>
          <w:kern w:val="24"/>
          <w:highlight w:val="yellow"/>
        </w:rPr>
      </w:pPr>
      <w:r w:rsidRPr="00BF2880">
        <w:rPr>
          <w:kern w:val="24"/>
        </w:rPr>
        <w:t>К 2017 году объем ВРП облас</w:t>
      </w:r>
      <w:r w:rsidR="00EC1703">
        <w:rPr>
          <w:kern w:val="24"/>
        </w:rPr>
        <w:t>ти возрастет до 223-229 млрд.</w:t>
      </w:r>
      <w:r w:rsidRPr="00BF2880">
        <w:rPr>
          <w:kern w:val="24"/>
        </w:rPr>
        <w:t>рублей.</w:t>
      </w:r>
    </w:p>
    <w:p w:rsidR="009613AF" w:rsidRPr="00542B65" w:rsidRDefault="00BF2880" w:rsidP="001626E0">
      <w:pPr>
        <w:jc w:val="both"/>
        <w:rPr>
          <w:kern w:val="24"/>
          <w:highlight w:val="yellow"/>
        </w:rPr>
      </w:pPr>
      <w:r w:rsidRPr="00BF2880">
        <w:rPr>
          <w:kern w:val="24"/>
        </w:rPr>
        <w:lastRenderedPageBreak/>
        <w:t>С 2014 года динамика роста валовых добавленных стоимостей прогнозируется повариантно в обрабатывающих производствах – от 100,2% до 103,3-105,7%,в оптовой и розничной торговле – от 100,3% до 104,3-107,1%, в сельском хозяйстве, охоте и лесном хозяйстве – от 101,6 до 102,8</w:t>
      </w:r>
      <w:r w:rsidR="00EC1703">
        <w:rPr>
          <w:kern w:val="24"/>
        </w:rPr>
        <w:t>-</w:t>
      </w:r>
      <w:r w:rsidRPr="00BF2880">
        <w:rPr>
          <w:kern w:val="24"/>
        </w:rPr>
        <w:t>103,0%, в строительстве – от 100,1% до 100,8-102,3%, на транспорте и связи – от 100,5% до 101,4</w:t>
      </w:r>
      <w:r w:rsidR="00EC1703">
        <w:rPr>
          <w:kern w:val="24"/>
        </w:rPr>
        <w:t>-</w:t>
      </w:r>
      <w:r w:rsidRPr="00BF2880">
        <w:rPr>
          <w:kern w:val="24"/>
        </w:rPr>
        <w:t>101,6%.</w:t>
      </w:r>
    </w:p>
    <w:p w:rsidR="00F37ABC" w:rsidRDefault="00BF2880" w:rsidP="001626E0">
      <w:pPr>
        <w:jc w:val="both"/>
        <w:rPr>
          <w:kern w:val="24"/>
        </w:rPr>
      </w:pPr>
      <w:r w:rsidRPr="00BF2880">
        <w:rPr>
          <w:kern w:val="24"/>
        </w:rPr>
        <w:t>Рост ВРП области будет обеспечен значительным увеличением объемов производства, которое прогнозируется по виду деятельности «Обрабатывающие производства». Увеличение валовой добавленной стоимости ожидается вследствие проведения реконструкций и модернизации оборудования, технического перевооружения и реконструкции производств, внедрения энергосберегающих технологий, расширения рынков сбыта и диверсификации производимой продукции, реал</w:t>
      </w:r>
      <w:r w:rsidR="00EC1703">
        <w:rPr>
          <w:kern w:val="24"/>
        </w:rPr>
        <w:t>изации инвестиционных проектов.</w:t>
      </w:r>
    </w:p>
    <w:p w:rsidR="009613AF" w:rsidRPr="00542B65" w:rsidRDefault="00BF2880" w:rsidP="001626E0">
      <w:pPr>
        <w:jc w:val="both"/>
        <w:rPr>
          <w:kern w:val="24"/>
          <w:highlight w:val="yellow"/>
        </w:rPr>
      </w:pPr>
      <w:r w:rsidRPr="00BF2880">
        <w:rPr>
          <w:kern w:val="24"/>
        </w:rPr>
        <w:t>Увеличение выпуска продукции организациями обрабатывающих производств положительно отразится на объеме валового регионального продукта и позволит сохранить к концу прогнозируемого периода удельный вес промышленного с</w:t>
      </w:r>
      <w:r>
        <w:rPr>
          <w:kern w:val="24"/>
        </w:rPr>
        <w:t>ектора экономики на уровне 38,4</w:t>
      </w:r>
      <w:r w:rsidRPr="00BF2880">
        <w:rPr>
          <w:kern w:val="24"/>
        </w:rPr>
        <w:t>%.</w:t>
      </w:r>
    </w:p>
    <w:p w:rsidR="009613AF" w:rsidRPr="00542B65" w:rsidRDefault="00BF2880" w:rsidP="001626E0">
      <w:pPr>
        <w:jc w:val="both"/>
        <w:rPr>
          <w:kern w:val="24"/>
          <w:highlight w:val="yellow"/>
        </w:rPr>
      </w:pPr>
      <w:r w:rsidRPr="00BF2880">
        <w:rPr>
          <w:kern w:val="24"/>
        </w:rPr>
        <w:t>В связи с продолжением осуществления работ по строительству моста через реку Волхов в Великом Новгороде и со строительством на территории области скоростной автомобильной дороги М–11 увеличится доля строительства в структуре валового регионального продук</w:t>
      </w:r>
      <w:r w:rsidR="00EC1703">
        <w:rPr>
          <w:kern w:val="24"/>
        </w:rPr>
        <w:t>та от 6,1% в 2011 году до 8,3-</w:t>
      </w:r>
      <w:r w:rsidRPr="00BF2880">
        <w:rPr>
          <w:kern w:val="24"/>
        </w:rPr>
        <w:t>8,5% в прогнозируемом периоде.</w:t>
      </w:r>
    </w:p>
    <w:p w:rsidR="009613AF" w:rsidRPr="00177BCE" w:rsidRDefault="00BF2880" w:rsidP="001626E0">
      <w:pPr>
        <w:jc w:val="both"/>
        <w:rPr>
          <w:kern w:val="24"/>
        </w:rPr>
      </w:pPr>
      <w:r w:rsidRPr="00BF2880">
        <w:rPr>
          <w:kern w:val="24"/>
        </w:rPr>
        <w:t xml:space="preserve">В сфере услуг на оптовую и розничную торговлю в общем объеме ВРП будет приходиться 12,5-12,8% (в 2012 году 11,3%) в связи с ростом денежных доходов населения и </w:t>
      </w:r>
      <w:r w:rsidRPr="00177BCE">
        <w:rPr>
          <w:kern w:val="24"/>
        </w:rPr>
        <w:t>дальнейшим развитием розничной торговой сети.</w:t>
      </w:r>
    </w:p>
    <w:p w:rsidR="009613AF" w:rsidRPr="00177BCE" w:rsidRDefault="009613AF" w:rsidP="00177BCE">
      <w:pPr>
        <w:ind w:firstLine="0"/>
        <w:jc w:val="center"/>
        <w:rPr>
          <w:b/>
          <w:kern w:val="24"/>
        </w:rPr>
      </w:pPr>
      <w:r w:rsidRPr="00177BCE">
        <w:rPr>
          <w:b/>
          <w:kern w:val="24"/>
        </w:rPr>
        <w:t>2. Промышленное производство</w:t>
      </w:r>
    </w:p>
    <w:p w:rsidR="009613AF" w:rsidRPr="00542B65" w:rsidRDefault="00177BCE" w:rsidP="001626E0">
      <w:pPr>
        <w:jc w:val="both"/>
        <w:rPr>
          <w:highlight w:val="yellow"/>
        </w:rPr>
      </w:pPr>
      <w:r w:rsidRPr="00177BCE">
        <w:t>На основании анализа мониторинга, сложившихся тенденций в промышленности области на 2015-2017 годы прогнозируется стабильное развитие промышленного производства на уровне 4,4</w:t>
      </w:r>
      <w:r w:rsidR="00EC1703">
        <w:t>-</w:t>
      </w:r>
      <w:r w:rsidRPr="00177BCE">
        <w:t>6,5%.</w:t>
      </w:r>
    </w:p>
    <w:p w:rsidR="00CA742C" w:rsidRPr="00542B65" w:rsidRDefault="00177BCE" w:rsidP="001626E0">
      <w:pPr>
        <w:jc w:val="both"/>
        <w:rPr>
          <w:highlight w:val="yellow"/>
        </w:rPr>
      </w:pPr>
      <w:r w:rsidRPr="00177BCE">
        <w:t>В прогнозируемом периоде в разделе «Обр</w:t>
      </w:r>
      <w:r>
        <w:t>абатывающие производства», зани</w:t>
      </w:r>
      <w:r w:rsidRPr="00177BCE">
        <w:t>мающем около 90% общего выпуска промышленной продукции, индекс производства прогнозируется на уровне 104,7-105,0% в 2015 году, 106,7-107,0% в 2016 году и 105,6-106,0% в 2017 году (к уровню предыдущего года).</w:t>
      </w:r>
    </w:p>
    <w:p w:rsidR="00CA742C" w:rsidRPr="00542B65" w:rsidRDefault="00177BCE" w:rsidP="001626E0">
      <w:pPr>
        <w:jc w:val="both"/>
        <w:rPr>
          <w:highlight w:val="yellow"/>
        </w:rPr>
      </w:pPr>
      <w:r w:rsidRPr="00177BCE">
        <w:t xml:space="preserve">Рост индекса производства обусловлен прогнозируемым увеличением объемов производства, вследствие проведения реконструкций и модернизации оборудования, технического перевооружения и реконструкции основного и вспомогательных производств, ввода новых мощностей, внедрения энергосберегающих технологий, расширения рынков сбыта и </w:t>
      </w:r>
      <w:r w:rsidRPr="00177BCE">
        <w:lastRenderedPageBreak/>
        <w:t xml:space="preserve">диверсификации производимой продукции, реализации инвестиционных проектов. Значительный рост индекса в 2016 году будет обеспечен вводом </w:t>
      </w:r>
      <w:r>
        <w:t>в эксплуатацию в 2015 году и вы</w:t>
      </w:r>
      <w:r w:rsidRPr="00177BCE">
        <w:t>ходом на полную производственную мощность в 20</w:t>
      </w:r>
      <w:r>
        <w:t xml:space="preserve">16 году цеха по производству аммиака – </w:t>
      </w:r>
      <w:r w:rsidRPr="00177BCE">
        <w:t>«Аммиак 4»</w:t>
      </w:r>
      <w:r>
        <w:t xml:space="preserve"> ОАО «Акрон»</w:t>
      </w:r>
      <w:r w:rsidRPr="00177BCE">
        <w:t>.</w:t>
      </w:r>
    </w:p>
    <w:p w:rsidR="009613AF" w:rsidRPr="00542B65" w:rsidRDefault="00177BCE" w:rsidP="001626E0">
      <w:pPr>
        <w:jc w:val="both"/>
        <w:rPr>
          <w:highlight w:val="yellow"/>
        </w:rPr>
      </w:pPr>
      <w:r w:rsidRPr="00177BCE">
        <w:t>Рост индекса промышленного производства в виде деятельности «производство прочих неметаллических минеральных продуктов» обусловлен увеличением в прогнозируемом периоде выпуска пропантов ОАО «Боровичский</w:t>
      </w:r>
      <w:r>
        <w:t xml:space="preserve"> комбинат огнеупоров», а также </w:t>
      </w:r>
      <w:r w:rsidRPr="00177BCE">
        <w:t>реализацией инвестиционного проекта Бабиновский цементный завод (ОАО «Цемент»).</w:t>
      </w:r>
    </w:p>
    <w:p w:rsidR="00177BCE" w:rsidRDefault="00177BCE" w:rsidP="00177BCE">
      <w:pPr>
        <w:jc w:val="both"/>
      </w:pPr>
      <w:r>
        <w:t>В разделе «Добыча полезных ископаемых», занимающем около 1% от общего объема выпуска, индекс производства прогнозируется в 2015-2017 г.г. на уровне 105,0-106,0% к уровню предыдущего года.</w:t>
      </w:r>
    </w:p>
    <w:p w:rsidR="00177BCE" w:rsidRDefault="00177BCE" w:rsidP="00177BCE">
      <w:pPr>
        <w:jc w:val="both"/>
      </w:pPr>
      <w:r>
        <w:t>К основным видам полезных ископаемых, разрабатываемых на территории Новгородской области относятся: пески строительные, песчано-гравийный материал, карбонатные породы на известь и щебень, глины легкоплавкие.</w:t>
      </w:r>
    </w:p>
    <w:p w:rsidR="00177BCE" w:rsidRDefault="00177BCE" w:rsidP="00177BCE">
      <w:pPr>
        <w:jc w:val="both"/>
        <w:rPr>
          <w:highlight w:val="yellow"/>
        </w:rPr>
      </w:pPr>
      <w:r>
        <w:t>Рост индекса производства будет обеспечен за счет строительства на территории области скоростной автомобильной дороги и высокоскоростной железной дороги, а также за счет ввода в эксплуатацию месторождений, право пользования которыми предоставлено по результатам открытых аукционов.</w:t>
      </w:r>
    </w:p>
    <w:p w:rsidR="00A74E0D" w:rsidRDefault="00A74E0D" w:rsidP="00A74E0D">
      <w:pPr>
        <w:jc w:val="both"/>
      </w:pPr>
      <w:r>
        <w:t>Основные промышленные предприятия по ведущим отраслям:</w:t>
      </w:r>
    </w:p>
    <w:p w:rsidR="00A74E0D" w:rsidRDefault="00A74E0D" w:rsidP="00A74E0D">
      <w:pPr>
        <w:jc w:val="both"/>
      </w:pPr>
      <w:r>
        <w:t>химическое производство – ОАО «Акрон» (производство удобрений);</w:t>
      </w:r>
    </w:p>
    <w:p w:rsidR="00A74E0D" w:rsidRDefault="00A74E0D" w:rsidP="00A74E0D">
      <w:pPr>
        <w:jc w:val="both"/>
      </w:pPr>
      <w:r>
        <w:t xml:space="preserve">производство пищевых продуктов, включая напитки, и табака – ООО </w:t>
      </w:r>
      <w:r w:rsidRPr="00A74E0D">
        <w:t xml:space="preserve">«Мон’делис Русь» </w:t>
      </w:r>
      <w:r>
        <w:t>(производство кондитерской продукции, жевательной резинки), ООО «Белгранкорм-Великий Новгород» (производство мяса птицы), ЗАО «Лактис» (производство молочной продукции), ОАО «Новгородхлеб» (производство хлебобулочных изделий);</w:t>
      </w:r>
    </w:p>
    <w:p w:rsidR="00A74E0D" w:rsidRDefault="00A74E0D" w:rsidP="00A74E0D">
      <w:pPr>
        <w:jc w:val="both"/>
      </w:pPr>
      <w:r>
        <w:t>обработка древесины и производство изделий из дерева – ООО «ЮПМ-Кюммене Чудово» (производство фанеры), ООО «Новгородская лесопромышленная компания «Содружество» (производство пиломатериалов);</w:t>
      </w:r>
    </w:p>
    <w:p w:rsidR="00A74E0D" w:rsidRDefault="00A74E0D" w:rsidP="00A74E0D">
      <w:pPr>
        <w:jc w:val="both"/>
      </w:pPr>
      <w:r>
        <w:t>целлюлозно-бумажное производство; издательская и полиграфическая деятельность – ООО «Амкор Тобакко Пэкеджинг Новгород» (твердый этикет (картонные пачки) для упаковки сигарет в развернутом виде);</w:t>
      </w:r>
    </w:p>
    <w:p w:rsidR="00A74E0D" w:rsidRDefault="00A74E0D" w:rsidP="00A74E0D">
      <w:pPr>
        <w:jc w:val="both"/>
      </w:pPr>
      <w:r>
        <w:t>производство транспортных средств и оборудования – ОАО «123 Авиационный ремонтный завод» (капитальный ремонт авиационной техники);</w:t>
      </w:r>
    </w:p>
    <w:p w:rsidR="00A74E0D" w:rsidRDefault="00A74E0D" w:rsidP="00A74E0D">
      <w:pPr>
        <w:jc w:val="both"/>
      </w:pPr>
      <w:r>
        <w:lastRenderedPageBreak/>
        <w:t>производство прочих неметаллических минеральных продуктов – ОАО «Боровичский комбинат огнеупоров» (огнеупорные изделия, неформованные огнеупоры, пропаны);</w:t>
      </w:r>
    </w:p>
    <w:p w:rsidR="00A74E0D" w:rsidRDefault="00A74E0D" w:rsidP="00A74E0D">
      <w:pPr>
        <w:jc w:val="both"/>
      </w:pPr>
      <w:r>
        <w:t xml:space="preserve">металлургическое производство и производство </w:t>
      </w:r>
      <w:r w:rsidR="00B65E85">
        <w:t xml:space="preserve">готовых металлических изделий – </w:t>
      </w:r>
      <w:r>
        <w:t>ЗАО «Новгоро</w:t>
      </w:r>
      <w:r w:rsidR="00B65E85">
        <w:t>дский металлургический завод» (к</w:t>
      </w:r>
      <w:r>
        <w:t>атанка медная</w:t>
      </w:r>
      <w:r w:rsidR="00B65E85">
        <w:t>,</w:t>
      </w:r>
      <w:r>
        <w:t xml:space="preserve"> </w:t>
      </w:r>
      <w:r w:rsidR="00B65E85">
        <w:t>у</w:t>
      </w:r>
      <w:r>
        <w:t>слуги по переработке меди);</w:t>
      </w:r>
    </w:p>
    <w:p w:rsidR="00B65E85" w:rsidRDefault="00B65E85" w:rsidP="00A74E0D">
      <w:pPr>
        <w:jc w:val="both"/>
      </w:pPr>
      <w:r>
        <w:t xml:space="preserve">прочие производства – </w:t>
      </w:r>
      <w:r w:rsidR="00A74E0D">
        <w:t xml:space="preserve">ЗАО </w:t>
      </w:r>
      <w:r>
        <w:t>«</w:t>
      </w:r>
      <w:r w:rsidR="00A74E0D">
        <w:t>Боровичи-Мебель</w:t>
      </w:r>
      <w:r>
        <w:t>» (производство мебели), ООО «</w:t>
      </w:r>
      <w:r w:rsidR="00A74E0D">
        <w:t>Элегия</w:t>
      </w:r>
      <w:r>
        <w:t>»</w:t>
      </w:r>
      <w:r w:rsidR="00A74E0D">
        <w:t xml:space="preserve"> (производство мебели).</w:t>
      </w:r>
    </w:p>
    <w:p w:rsidR="00B65E85" w:rsidRDefault="00B65E85" w:rsidP="00B65E85">
      <w:pPr>
        <w:jc w:val="both"/>
      </w:pPr>
      <w:r>
        <w:t>Меры Правительства Новгородской области по развитию промышленного сектора экономики на 2015-2017 годы:</w:t>
      </w:r>
    </w:p>
    <w:p w:rsidR="00B65E85" w:rsidRDefault="00B65E85" w:rsidP="00B65E85">
      <w:pPr>
        <w:jc w:val="both"/>
      </w:pPr>
      <w:r>
        <w:t>сохранение производственного потенциала промышленных предприятий, поддержка и развитие высокотехнологичных производств;</w:t>
      </w:r>
    </w:p>
    <w:p w:rsidR="00B65E85" w:rsidRDefault="00B65E85" w:rsidP="00B65E85">
      <w:pPr>
        <w:jc w:val="both"/>
      </w:pPr>
      <w:r>
        <w:t>поддержка предпринимательства;</w:t>
      </w:r>
    </w:p>
    <w:p w:rsidR="00B65E85" w:rsidRDefault="00B65E85" w:rsidP="00B65E85">
      <w:pPr>
        <w:jc w:val="both"/>
      </w:pPr>
      <w:r>
        <w:t>развитие инновационной и рыночной инфраструктуры;</w:t>
      </w:r>
    </w:p>
    <w:p w:rsidR="00B65E85" w:rsidRDefault="00B65E85" w:rsidP="00B65E85">
      <w:pPr>
        <w:jc w:val="both"/>
      </w:pPr>
      <w:r>
        <w:t>оказание содействия по перепрофилированию, реструктуризации неэффективных предприятий и производств;</w:t>
      </w:r>
    </w:p>
    <w:p w:rsidR="009613AF" w:rsidRPr="00542B65" w:rsidRDefault="00B65E85" w:rsidP="00B65E85">
      <w:pPr>
        <w:jc w:val="both"/>
        <w:rPr>
          <w:highlight w:val="yellow"/>
        </w:rPr>
      </w:pPr>
      <w:r>
        <w:t>взаимодействие Правительства области с региональным объединением работодателей «Союз промышленников и предпринимателей Новгородской области» и Ас</w:t>
      </w:r>
      <w:r w:rsidR="00EC1703">
        <w:t>социацией товаропроизводителей «</w:t>
      </w:r>
      <w:r>
        <w:t>Новгород», Новгородской торгово-промышленной палатой с целью стабилизации работы промышленности и др.</w:t>
      </w:r>
    </w:p>
    <w:p w:rsidR="00BD21FC" w:rsidRPr="000B3F68" w:rsidRDefault="00BD21FC" w:rsidP="0007420F">
      <w:pPr>
        <w:ind w:firstLine="0"/>
        <w:jc w:val="center"/>
        <w:rPr>
          <w:b/>
        </w:rPr>
      </w:pPr>
      <w:r w:rsidRPr="000B3F68">
        <w:rPr>
          <w:b/>
        </w:rPr>
        <w:t>3. Сельскохозяйственное производство</w:t>
      </w:r>
    </w:p>
    <w:p w:rsidR="000B3F68" w:rsidRDefault="000B3F68" w:rsidP="000B3F68">
      <w:pPr>
        <w:jc w:val="both"/>
      </w:pPr>
      <w:r>
        <w:t>Сельское хозяйство является одной из сфер экономики области, которая формирует трудовой потенциал сельских территорий и обеспечивает население области сельскохозяйственной продукцией и продовольствием.</w:t>
      </w:r>
    </w:p>
    <w:p w:rsidR="0090479F" w:rsidRPr="000B3F68" w:rsidRDefault="0090479F" w:rsidP="001626E0">
      <w:pPr>
        <w:jc w:val="both"/>
      </w:pPr>
      <w:r w:rsidRPr="000B3F68">
        <w:t>В настоящее время в сельском хозяйстве области действуют 2 государственные программы и 7 ведомственных целевых программ по наиболее важным направлениям развития агропромышленного комплекса области, что является основой долгосрочной комплексной региональной аграрной политики.</w:t>
      </w:r>
    </w:p>
    <w:p w:rsidR="0090479F" w:rsidRPr="000B3F68" w:rsidRDefault="0090479F" w:rsidP="001626E0">
      <w:pPr>
        <w:jc w:val="both"/>
      </w:pPr>
      <w:r w:rsidRPr="000B3F68">
        <w:t>Предусматривается реализация приоритетных направлений</w:t>
      </w:r>
      <w:r w:rsidR="00262356" w:rsidRPr="000B3F68">
        <w:t>:</w:t>
      </w:r>
    </w:p>
    <w:p w:rsidR="0090479F" w:rsidRPr="000B3F68" w:rsidRDefault="00262356" w:rsidP="001626E0">
      <w:pPr>
        <w:jc w:val="both"/>
      </w:pPr>
      <w:r w:rsidRPr="000B3F68">
        <w:t>1. С</w:t>
      </w:r>
      <w:r w:rsidR="0090479F" w:rsidRPr="000B3F68">
        <w:t>тимулирование развития сельскохозяйственного производства на основе:</w:t>
      </w:r>
    </w:p>
    <w:p w:rsidR="0090479F" w:rsidRPr="000B3F68" w:rsidRDefault="0090479F" w:rsidP="001626E0">
      <w:pPr>
        <w:jc w:val="both"/>
      </w:pPr>
      <w:r w:rsidRPr="000B3F68">
        <w:t>совершенствования форм, механизмов и увеличения объемов государственной поддержки в целях повышения доходности и инвестиционной привлекательности сельского хозяйства, технической и технологической модернизации отрасли;</w:t>
      </w:r>
    </w:p>
    <w:p w:rsidR="0090479F" w:rsidRPr="000B3F68" w:rsidRDefault="0090479F" w:rsidP="001626E0">
      <w:pPr>
        <w:jc w:val="both"/>
      </w:pPr>
      <w:r w:rsidRPr="000B3F68">
        <w:t xml:space="preserve">поддержки племенного животноводства и </w:t>
      </w:r>
      <w:r w:rsidR="000B3F68" w:rsidRPr="000B3F68">
        <w:t>повышения продуктивности скота;</w:t>
      </w:r>
    </w:p>
    <w:p w:rsidR="0090479F" w:rsidRPr="000B3F68" w:rsidRDefault="0090479F" w:rsidP="001626E0">
      <w:pPr>
        <w:jc w:val="both"/>
      </w:pPr>
      <w:r w:rsidRPr="000B3F68">
        <w:lastRenderedPageBreak/>
        <w:t>развития интенсивных технологий в растениеводстве, поддержки элитного семеноводства и повышения урожайности основных культур;</w:t>
      </w:r>
    </w:p>
    <w:p w:rsidR="0090479F" w:rsidRPr="000B3F68" w:rsidRDefault="0090479F" w:rsidP="001626E0">
      <w:pPr>
        <w:jc w:val="both"/>
      </w:pPr>
      <w:r w:rsidRPr="000B3F68">
        <w:t>повышения производительности труда на основе стимулирования к использованию современных технологий, совершенствования организации производства, а также организации труда и управления;</w:t>
      </w:r>
    </w:p>
    <w:p w:rsidR="0090479F" w:rsidRPr="000B3F68" w:rsidRDefault="0090479F" w:rsidP="001626E0">
      <w:pPr>
        <w:jc w:val="both"/>
      </w:pPr>
      <w:r w:rsidRPr="000B3F68">
        <w:t>реализации мер по финансовому оздоровлению сельскохозяйственных организаций;</w:t>
      </w:r>
    </w:p>
    <w:p w:rsidR="0090479F" w:rsidRPr="000B3F68" w:rsidRDefault="0090479F" w:rsidP="001626E0">
      <w:pPr>
        <w:jc w:val="both"/>
      </w:pPr>
      <w:r w:rsidRPr="000B3F68">
        <w:t>осуществления мер по созданию новых рабочих мест;</w:t>
      </w:r>
    </w:p>
    <w:p w:rsidR="0090479F" w:rsidRPr="000B3F68" w:rsidRDefault="0090479F" w:rsidP="001626E0">
      <w:pPr>
        <w:jc w:val="both"/>
      </w:pPr>
      <w:r w:rsidRPr="000B3F68">
        <w:t>повышение престижности сельскохозяйственного труда.</w:t>
      </w:r>
    </w:p>
    <w:p w:rsidR="0090479F" w:rsidRPr="000B3F68" w:rsidRDefault="00262356" w:rsidP="001626E0">
      <w:pPr>
        <w:jc w:val="both"/>
      </w:pPr>
      <w:r w:rsidRPr="000B3F68">
        <w:t>2. У</w:t>
      </w:r>
      <w:r w:rsidR="0090479F" w:rsidRPr="000B3F68">
        <w:t>лучшение общих условий функционирования сельского хозяйства на основе:</w:t>
      </w:r>
    </w:p>
    <w:p w:rsidR="0090479F" w:rsidRPr="00694EC0" w:rsidRDefault="0090479F" w:rsidP="001626E0">
      <w:pPr>
        <w:jc w:val="both"/>
      </w:pPr>
      <w:r w:rsidRPr="00694EC0">
        <w:t>создания условий для сохранения и восстановления плодородия почв, повышения эффективности использования земель сельскохозяйственного назначения;</w:t>
      </w:r>
    </w:p>
    <w:p w:rsidR="0090479F" w:rsidRPr="00694EC0" w:rsidRDefault="0090479F" w:rsidP="001626E0">
      <w:pPr>
        <w:jc w:val="both"/>
      </w:pPr>
      <w:r w:rsidRPr="00694EC0">
        <w:t>создания условий для проведения реконструкции мелиоративных систем;</w:t>
      </w:r>
    </w:p>
    <w:p w:rsidR="0090479F" w:rsidRPr="00694EC0" w:rsidRDefault="0090479F" w:rsidP="001626E0">
      <w:pPr>
        <w:jc w:val="both"/>
      </w:pPr>
      <w:r w:rsidRPr="00694EC0">
        <w:t>развития эффективного оборота земель и создания условий для расширения посевных площадей;</w:t>
      </w:r>
    </w:p>
    <w:p w:rsidR="0090479F" w:rsidRPr="00694EC0" w:rsidRDefault="0090479F" w:rsidP="001626E0">
      <w:pPr>
        <w:jc w:val="both"/>
      </w:pPr>
      <w:r w:rsidRPr="00694EC0">
        <w:t>развития системы консультационного, информационного и научного обеспечения;</w:t>
      </w:r>
    </w:p>
    <w:p w:rsidR="0090479F" w:rsidRPr="00694EC0" w:rsidRDefault="0090479F" w:rsidP="001626E0">
      <w:pPr>
        <w:jc w:val="both"/>
      </w:pPr>
      <w:r w:rsidRPr="00694EC0">
        <w:t>поддержки, закрепления и привлечения квалифицированных кадров для сельского хозяйства.</w:t>
      </w:r>
    </w:p>
    <w:p w:rsidR="0090479F" w:rsidRPr="00694EC0" w:rsidRDefault="00262356" w:rsidP="001626E0">
      <w:pPr>
        <w:jc w:val="both"/>
      </w:pPr>
      <w:r w:rsidRPr="00694EC0">
        <w:t>3. П</w:t>
      </w:r>
      <w:r w:rsidR="0090479F" w:rsidRPr="00694EC0">
        <w:t>овышение уровня и качества жизни сельского населения, создание комфортных условий жизнедеятельности в сельской местности на основе:</w:t>
      </w:r>
    </w:p>
    <w:p w:rsidR="0090479F" w:rsidRPr="00694EC0" w:rsidRDefault="0090479F" w:rsidP="001626E0">
      <w:pPr>
        <w:jc w:val="both"/>
      </w:pPr>
      <w:r w:rsidRPr="00694EC0">
        <w:t>удовлетворения потребностей сельского населения, в том числе молодых семей и молодых специалистов, в благоустроенном жилье;</w:t>
      </w:r>
    </w:p>
    <w:p w:rsidR="0090479F" w:rsidRPr="00694EC0" w:rsidRDefault="0090479F" w:rsidP="001626E0">
      <w:pPr>
        <w:jc w:val="both"/>
      </w:pPr>
      <w:r w:rsidRPr="00694EC0">
        <w:t>повышения уровня комплексного обустройства населенных пунктов, расположенных в сельской местности, объектами социальной и инженерной инфраструктуры;</w:t>
      </w:r>
    </w:p>
    <w:p w:rsidR="0090479F" w:rsidRPr="00694EC0" w:rsidRDefault="0090479F" w:rsidP="001626E0">
      <w:pPr>
        <w:jc w:val="both"/>
      </w:pPr>
      <w:r w:rsidRPr="00694EC0">
        <w:t>концентрации ресурсов, направляемых на комплексное обустройство объектами социальной и инженерной инфраструктуры населенных пунктов, расположенных в сельской местности, в которых осуществляются инвестиционные проекты в сфере агропромышленного комплекса;</w:t>
      </w:r>
    </w:p>
    <w:p w:rsidR="0090479F" w:rsidRPr="00694EC0" w:rsidRDefault="0090479F" w:rsidP="001626E0">
      <w:pPr>
        <w:jc w:val="both"/>
      </w:pPr>
      <w:r w:rsidRPr="00694EC0">
        <w:t>грантовой поддержки местных инициатив граждан, проживающих в сельской местности.</w:t>
      </w:r>
    </w:p>
    <w:p w:rsidR="0090479F" w:rsidRPr="00694EC0" w:rsidRDefault="0090479F" w:rsidP="001626E0">
      <w:pPr>
        <w:jc w:val="both"/>
      </w:pPr>
      <w:r w:rsidRPr="00694EC0">
        <w:t>В 2013 году хозяйствами всех категорий произведено валовой продукции в действующих ценах на сумму 165</w:t>
      </w:r>
      <w:r w:rsidR="00694EC0" w:rsidRPr="00694EC0">
        <w:t>87</w:t>
      </w:r>
      <w:r w:rsidRPr="00694EC0">
        <w:t>,</w:t>
      </w:r>
      <w:r w:rsidR="00694EC0" w:rsidRPr="00694EC0">
        <w:t>2</w:t>
      </w:r>
      <w:r w:rsidRPr="00694EC0">
        <w:t xml:space="preserve"> млн.рублей, в сопоставимой оценке – 9</w:t>
      </w:r>
      <w:r w:rsidR="00694EC0" w:rsidRPr="00694EC0">
        <w:t>0</w:t>
      </w:r>
      <w:r w:rsidRPr="00694EC0">
        <w:t>,</w:t>
      </w:r>
      <w:r w:rsidR="00694EC0" w:rsidRPr="00694EC0">
        <w:t>9</w:t>
      </w:r>
      <w:r w:rsidRPr="00694EC0">
        <w:t>% к уровню 2012 года. В структуре производства продукции сельского хозяйства в 2013 году наибольший удельный вес занимает продукция животноводства – 5</w:t>
      </w:r>
      <w:r w:rsidR="00694EC0" w:rsidRPr="00694EC0">
        <w:t>9</w:t>
      </w:r>
      <w:r w:rsidRPr="00694EC0">
        <w:t>,</w:t>
      </w:r>
      <w:r w:rsidR="00694EC0" w:rsidRPr="00694EC0">
        <w:t>1</w:t>
      </w:r>
      <w:r w:rsidRPr="00694EC0">
        <w:t>%.</w:t>
      </w:r>
    </w:p>
    <w:p w:rsidR="0090479F" w:rsidRPr="00694EC0" w:rsidRDefault="0090479F" w:rsidP="001626E0">
      <w:pPr>
        <w:jc w:val="both"/>
      </w:pPr>
      <w:r w:rsidRPr="00694EC0">
        <w:lastRenderedPageBreak/>
        <w:t>По оценке в 2014 году индекс производства продукции сельского хозяйства в хозяйствах всех категорий составит 10</w:t>
      </w:r>
      <w:r w:rsidR="00694EC0" w:rsidRPr="00694EC0">
        <w:t>6</w:t>
      </w:r>
      <w:r w:rsidRPr="00694EC0">
        <w:t>,</w:t>
      </w:r>
      <w:r w:rsidR="00694EC0" w:rsidRPr="00694EC0">
        <w:t>1</w:t>
      </w:r>
      <w:r w:rsidRPr="00694EC0">
        <w:t>%</w:t>
      </w:r>
      <w:r w:rsidR="00694EC0">
        <w:t xml:space="preserve">, </w:t>
      </w:r>
      <w:r w:rsidR="00694EC0" w:rsidRPr="00694EC0">
        <w:t>в том числе: индекс производс</w:t>
      </w:r>
      <w:r w:rsidR="00694EC0">
        <w:t xml:space="preserve">тва продукции растениеводства – </w:t>
      </w:r>
      <w:r w:rsidR="00694EC0" w:rsidRPr="00694EC0">
        <w:t>113,6</w:t>
      </w:r>
      <w:r w:rsidR="00694EC0">
        <w:t xml:space="preserve">%, </w:t>
      </w:r>
      <w:r w:rsidR="00694EC0" w:rsidRPr="00694EC0">
        <w:t>животноводства – 101,0</w:t>
      </w:r>
      <w:r w:rsidR="00694EC0">
        <w:t>%</w:t>
      </w:r>
      <w:r w:rsidR="00694EC0" w:rsidRPr="00694EC0">
        <w:t>.</w:t>
      </w:r>
    </w:p>
    <w:p w:rsidR="0090479F" w:rsidRPr="00542B65" w:rsidRDefault="0090479F" w:rsidP="001626E0">
      <w:pPr>
        <w:jc w:val="both"/>
        <w:rPr>
          <w:highlight w:val="yellow"/>
        </w:rPr>
      </w:pPr>
      <w:r w:rsidRPr="00694EC0">
        <w:t>В 2014 году в хозяйствах всех категорий планируется обеспечить</w:t>
      </w:r>
      <w:r w:rsidR="00694EC0">
        <w:t xml:space="preserve"> </w:t>
      </w:r>
      <w:r w:rsidR="00694EC0" w:rsidRPr="00694EC0">
        <w:t>производство скота и птицы на убой (в живом весе) на уровне 122,0 тыс.тонн (109,8</w:t>
      </w:r>
      <w:r w:rsidR="00694EC0">
        <w:t>%</w:t>
      </w:r>
      <w:r w:rsidR="00694EC0" w:rsidRPr="00694EC0">
        <w:t xml:space="preserve"> к уровню 2013 года), производство молока</w:t>
      </w:r>
      <w:r w:rsidR="00694EC0">
        <w:t xml:space="preserve"> – </w:t>
      </w:r>
      <w:r w:rsidR="00694EC0" w:rsidRPr="00694EC0">
        <w:t>81,3 тыс.</w:t>
      </w:r>
      <w:r w:rsidR="00694EC0">
        <w:t>тонн (92,6%</w:t>
      </w:r>
      <w:r w:rsidR="00694EC0" w:rsidRPr="00694EC0">
        <w:t>), производс</w:t>
      </w:r>
      <w:r w:rsidR="00694EC0">
        <w:t>тво яиц – 205,0 млн.штук (115,6%</w:t>
      </w:r>
      <w:r w:rsidR="00694EC0" w:rsidRPr="00694EC0">
        <w:t>), зерна (в весе после доработки) – 31,0 тыс.тонн (129,6</w:t>
      </w:r>
      <w:r w:rsidR="00694EC0">
        <w:t>%</w:t>
      </w:r>
      <w:r w:rsidR="00694EC0" w:rsidRPr="00694EC0">
        <w:t>), картофеля – 329,3 тыс.тонн (128,9</w:t>
      </w:r>
      <w:r w:rsidR="00694EC0">
        <w:t>%</w:t>
      </w:r>
      <w:r w:rsidR="00694EC0" w:rsidRPr="00694EC0">
        <w:t xml:space="preserve">), овощей – </w:t>
      </w:r>
      <w:r w:rsidR="00EC1703">
        <w:t>97,0</w:t>
      </w:r>
      <w:r w:rsidR="00694EC0" w:rsidRPr="00694EC0">
        <w:t xml:space="preserve"> тыс.тонн (110,3</w:t>
      </w:r>
      <w:r w:rsidR="00694EC0">
        <w:t>%</w:t>
      </w:r>
      <w:r w:rsidR="00694EC0" w:rsidRPr="00694EC0">
        <w:t>).</w:t>
      </w:r>
    </w:p>
    <w:p w:rsidR="0090479F" w:rsidRPr="00542B65" w:rsidRDefault="00694EC0" w:rsidP="001626E0">
      <w:pPr>
        <w:jc w:val="both"/>
        <w:rPr>
          <w:highlight w:val="yellow"/>
        </w:rPr>
      </w:pPr>
      <w:r w:rsidRPr="00694EC0">
        <w:t>Рост производства продукции в растениеводстве будет обеспечен за счет проведения модернизации в ООО «Трубичино» в Новгородском районе, развития производства овощей закрытого грунта в ООО «ХУНВЕЙ» в Чудовском районе, внедрения в сельскохозяйственных организациях области современных технологий заготовки кормов, увеличения доли элитных посевов в общей площади посевов, проведения мероприятий по поддержанию почвенного плодородия, увеличения производства картофеля и овощей в личных подсобных хозяйствах.</w:t>
      </w:r>
    </w:p>
    <w:p w:rsidR="0090479F" w:rsidRPr="00694EC0" w:rsidRDefault="0090479F" w:rsidP="001626E0">
      <w:pPr>
        <w:jc w:val="both"/>
      </w:pPr>
      <w:r w:rsidRPr="00694EC0">
        <w:t>Планируется продолжить обновление машинно-технологического пар</w:t>
      </w:r>
      <w:r w:rsidR="004C6095" w:rsidRPr="00694EC0">
        <w:t>ка сельхозтоваропроизводителей.</w:t>
      </w:r>
    </w:p>
    <w:p w:rsidR="0090479F" w:rsidRPr="00694EC0" w:rsidRDefault="0090479F" w:rsidP="001626E0">
      <w:pPr>
        <w:jc w:val="both"/>
      </w:pPr>
      <w:r w:rsidRPr="00694EC0">
        <w:t>На период 2015-2017 годы в област</w:t>
      </w:r>
      <w:r w:rsidR="004C6095" w:rsidRPr="00694EC0">
        <w:t xml:space="preserve">и прогнозируется возобновление </w:t>
      </w:r>
      <w:r w:rsidRPr="00694EC0">
        <w:t>развития свиноводства и птицево</w:t>
      </w:r>
      <w:r w:rsidR="004C6095" w:rsidRPr="00694EC0">
        <w:t>дства.</w:t>
      </w:r>
    </w:p>
    <w:p w:rsidR="00694EC0" w:rsidRDefault="00694EC0" w:rsidP="001626E0">
      <w:pPr>
        <w:jc w:val="both"/>
      </w:pPr>
      <w:r w:rsidRPr="00694EC0">
        <w:t>В свиноводстве наращивание производства будет обеспечено за счет увеличения объема производства в ООО «Новгородский бекон» Новгородский район и ООО «Новые технологии» Парфинский район.</w:t>
      </w:r>
    </w:p>
    <w:p w:rsidR="00694EC0" w:rsidRDefault="00694EC0" w:rsidP="001626E0">
      <w:pPr>
        <w:jc w:val="both"/>
        <w:rPr>
          <w:iCs/>
        </w:rPr>
      </w:pPr>
      <w:r w:rsidRPr="00945BA9">
        <w:t>В птицеводстве наращивание производства будет обеспечено за счет увеличения производства мяса бройлеров в</w:t>
      </w:r>
      <w:r w:rsidRPr="00945BA9">
        <w:rPr>
          <w:b/>
          <w:iCs/>
        </w:rPr>
        <w:t xml:space="preserve"> </w:t>
      </w:r>
      <w:r w:rsidRPr="00945BA9">
        <w:rPr>
          <w:iCs/>
        </w:rPr>
        <w:t>ООО «Белгранкорм-Великий</w:t>
      </w:r>
      <w:r w:rsidRPr="00945BA9">
        <w:rPr>
          <w:b/>
          <w:iCs/>
        </w:rPr>
        <w:t xml:space="preserve"> </w:t>
      </w:r>
      <w:r w:rsidRPr="00945BA9">
        <w:rPr>
          <w:iCs/>
        </w:rPr>
        <w:t>Новгород», развитием производства мяса птицы в</w:t>
      </w:r>
      <w:r>
        <w:rPr>
          <w:iCs/>
        </w:rPr>
        <w:t xml:space="preserve"> ООО</w:t>
      </w:r>
      <w:r w:rsidRPr="00781177">
        <w:rPr>
          <w:iCs/>
        </w:rPr>
        <w:t xml:space="preserve"> «Но</w:t>
      </w:r>
      <w:r>
        <w:rPr>
          <w:iCs/>
        </w:rPr>
        <w:t>вгородский бекон»</w:t>
      </w:r>
      <w:r w:rsidRPr="00945BA9">
        <w:rPr>
          <w:iCs/>
        </w:rPr>
        <w:t xml:space="preserve"> на базе предприятия-банкрота ООО «Птицефабрика «Новгородская».</w:t>
      </w:r>
    </w:p>
    <w:p w:rsidR="0090479F" w:rsidRPr="00694EC0" w:rsidRDefault="0090479F" w:rsidP="001626E0">
      <w:pPr>
        <w:jc w:val="both"/>
      </w:pPr>
      <w:r w:rsidRPr="00694EC0">
        <w:t>Получит первую продукцию ООО «Астрилово» в Старорусском районе, где в 2012 году начата реализация крупного инвестиционного проекта по производств</w:t>
      </w:r>
      <w:r w:rsidR="004C6095" w:rsidRPr="00694EC0">
        <w:t>у мяса крупного рогатого скота.</w:t>
      </w:r>
    </w:p>
    <w:p w:rsidR="0090479F" w:rsidRPr="00694EC0" w:rsidRDefault="0090479F" w:rsidP="001626E0">
      <w:pPr>
        <w:jc w:val="both"/>
      </w:pPr>
      <w:r w:rsidRPr="00694EC0">
        <w:t>Наращивание производства яиц будет обеспечено за счет выхода на проектную мощность племптицерепродуктора ООО «Белгранкорм-Великий Новгород» в Крестецком районе, развитием производства в ЗАО «Гвардеец» в Новгородском районе.</w:t>
      </w:r>
    </w:p>
    <w:p w:rsidR="00694EC0" w:rsidRDefault="00694EC0" w:rsidP="001626E0">
      <w:pPr>
        <w:jc w:val="both"/>
      </w:pPr>
      <w:r w:rsidRPr="00694EC0">
        <w:t xml:space="preserve">Будет продолжена работа по улучшению качественного состава стада сельскохозяйственных животных за счет проведения селекционно-племенной работы и приобретение племенного скота. В 2015 году планируется приступить к реализации инвестиционного проекта по строительству </w:t>
      </w:r>
      <w:r w:rsidRPr="00694EC0">
        <w:lastRenderedPageBreak/>
        <w:t>молочно-товарной фермы на 200 голов коров для крестьянского (фермерского) хозяйства в Мошенском районе.</w:t>
      </w:r>
    </w:p>
    <w:p w:rsidR="00694EC0" w:rsidRDefault="00694EC0" w:rsidP="001626E0">
      <w:pPr>
        <w:jc w:val="both"/>
      </w:pPr>
      <w:r w:rsidRPr="00694EC0">
        <w:t>На 2015-2017 годы в отрасли растениеводства прогнозируется дальнейшее развитие картофелеводства, кормопроизводства, вовлечение в оборот земель сельскохозяйственного назначения.</w:t>
      </w:r>
    </w:p>
    <w:p w:rsidR="00694EC0" w:rsidRPr="00945BA9" w:rsidRDefault="00694EC0" w:rsidP="00694EC0">
      <w:pPr>
        <w:tabs>
          <w:tab w:val="left" w:pos="0"/>
        </w:tabs>
        <w:jc w:val="both"/>
      </w:pPr>
      <w:r>
        <w:t>Р</w:t>
      </w:r>
      <w:r w:rsidRPr="00C6776C">
        <w:t>еализов</w:t>
      </w:r>
      <w:r>
        <w:t>аны 3</w:t>
      </w:r>
      <w:r w:rsidRPr="00C6776C">
        <w:t xml:space="preserve"> инвестиционных проекта по строительству картофелехранилищ и логистических центров </w:t>
      </w:r>
      <w:r w:rsidRPr="00C6776C">
        <w:rPr>
          <w:bCs/>
        </w:rPr>
        <w:t xml:space="preserve">для хранения, предпродажной подготовки и реализации картофеля и овощей </w:t>
      </w:r>
      <w:r w:rsidRPr="00C6776C">
        <w:t>в Бо</w:t>
      </w:r>
      <w:r>
        <w:t>ровичском и Новгородском</w:t>
      </w:r>
      <w:r w:rsidRPr="00C6776C">
        <w:t xml:space="preserve"> районах.</w:t>
      </w:r>
    </w:p>
    <w:p w:rsidR="0090479F" w:rsidRDefault="00694EC0" w:rsidP="001626E0">
      <w:pPr>
        <w:jc w:val="both"/>
      </w:pPr>
      <w:r w:rsidRPr="00694EC0">
        <w:t>В 2017 году хозяйствами всех категорий запланировано увеличение производства к уровню 2013 года зерна – в 2,3 раз</w:t>
      </w:r>
      <w:r>
        <w:t>а</w:t>
      </w:r>
      <w:r w:rsidRPr="00694EC0">
        <w:t xml:space="preserve"> (до 55,0 тыс.тонн), картофеля – в 1,5 раз</w:t>
      </w:r>
      <w:r>
        <w:t xml:space="preserve">а (до 395,0 тыс.тонн), овощей – </w:t>
      </w:r>
      <w:r w:rsidRPr="00694EC0">
        <w:t>в 1,2 раза (до 107,0 тыс.тонн).</w:t>
      </w:r>
    </w:p>
    <w:p w:rsidR="00694EC0" w:rsidRPr="00542B65" w:rsidRDefault="00694EC0" w:rsidP="001626E0">
      <w:pPr>
        <w:jc w:val="both"/>
        <w:rPr>
          <w:highlight w:val="yellow"/>
        </w:rPr>
      </w:pPr>
      <w:r w:rsidRPr="00694EC0">
        <w:t>В сельскохозяйственных организациях области будут увеличены объемы и темпы заготовки кормов, внедрены более прогрессивные технологии. За счет внедрения современных технологий заготовки кормов, использования заквасок и консервантов значительно улучшится качественные и количественные показатели заготовленных кормов.</w:t>
      </w:r>
    </w:p>
    <w:p w:rsidR="0090479F" w:rsidRDefault="00694EC0" w:rsidP="001626E0">
      <w:pPr>
        <w:jc w:val="both"/>
      </w:pPr>
      <w:r w:rsidRPr="00694EC0">
        <w:t>В 2017 году в животноводстве хозяйствами всех категорий области планируется увеличить по сравнению с 201</w:t>
      </w:r>
      <w:r>
        <w:t>3 годом производство мяса в 1,4 </w:t>
      </w:r>
      <w:r w:rsidRPr="00694EC0">
        <w:t>раз</w:t>
      </w:r>
      <w:r>
        <w:t>а (до 153,0 тыс.т</w:t>
      </w:r>
      <w:r w:rsidRPr="00694EC0">
        <w:t>онн</w:t>
      </w:r>
      <w:r w:rsidR="00EC1703">
        <w:t>)</w:t>
      </w:r>
      <w:r w:rsidRPr="00694EC0">
        <w:t>, молока в 1,1 раз</w:t>
      </w:r>
      <w:r>
        <w:t>а (до 100,0 тыс.</w:t>
      </w:r>
      <w:r w:rsidRPr="00694EC0">
        <w:t>тонн), яиц в 1,2 раз</w:t>
      </w:r>
      <w:r>
        <w:t>а (до 211,0 млн.</w:t>
      </w:r>
      <w:r w:rsidRPr="00694EC0">
        <w:t>штук).</w:t>
      </w:r>
    </w:p>
    <w:p w:rsidR="001655BC" w:rsidRPr="00542B65" w:rsidRDefault="001655BC" w:rsidP="001626E0">
      <w:pPr>
        <w:jc w:val="both"/>
        <w:rPr>
          <w:highlight w:val="yellow"/>
        </w:rPr>
      </w:pPr>
      <w:r w:rsidRPr="001655BC">
        <w:t xml:space="preserve">Эстонская группа </w:t>
      </w:r>
      <w:r w:rsidRPr="001069EB">
        <w:t>компаний «УВИК»</w:t>
      </w:r>
      <w:r w:rsidRPr="001655BC">
        <w:t xml:space="preserve"> планирует строительство на территории области высокотехнологичного комплекса по хранению и переработке промышленных сортов картофеля с объемом хранения 80</w:t>
      </w:r>
      <w:r>
        <w:t> </w:t>
      </w:r>
      <w:r w:rsidRPr="001655BC">
        <w:t>тыс.тонн, переработкой в картофель фри</w:t>
      </w:r>
      <w:r>
        <w:t xml:space="preserve"> – </w:t>
      </w:r>
      <w:r w:rsidRPr="001655BC">
        <w:t>35 тыс.тонн и в картофельные хлопья</w:t>
      </w:r>
      <w:r>
        <w:t xml:space="preserve"> – </w:t>
      </w:r>
      <w:r w:rsidRPr="001655BC">
        <w:t>10 тыс.тонн в год. Создание комбината позволит увеличить в области посевные площади картофеля на 20% и валовой сбор картофеля на 40%.</w:t>
      </w:r>
    </w:p>
    <w:p w:rsidR="00CA742C" w:rsidRPr="000B3F68" w:rsidRDefault="00BD21FC" w:rsidP="000B3F68">
      <w:pPr>
        <w:ind w:firstLine="0"/>
        <w:jc w:val="center"/>
        <w:rPr>
          <w:b/>
        </w:rPr>
      </w:pPr>
      <w:r w:rsidRPr="000B3F68">
        <w:rPr>
          <w:b/>
        </w:rPr>
        <w:t>4</w:t>
      </w:r>
      <w:r w:rsidR="00CA742C" w:rsidRPr="000B3F68">
        <w:rPr>
          <w:b/>
        </w:rPr>
        <w:t>. Инвестиции</w:t>
      </w:r>
    </w:p>
    <w:p w:rsidR="000B3F68" w:rsidRDefault="000B3F68" w:rsidP="001626E0">
      <w:pPr>
        <w:jc w:val="both"/>
      </w:pPr>
      <w:r w:rsidRPr="000B3F68">
        <w:t>В 2013 году организациями области направлено инвестици</w:t>
      </w:r>
      <w:r w:rsidR="00EC1703">
        <w:t>й в основной капитал 52,6 млрд.</w:t>
      </w:r>
      <w:r w:rsidRPr="000B3F68">
        <w:t>рублей. Прирост инвестиций с</w:t>
      </w:r>
      <w:r w:rsidR="00EC1703">
        <w:t>оставил 7,6 млрд.</w:t>
      </w:r>
      <w:r>
        <w:t>рублей или 17,0</w:t>
      </w:r>
      <w:r w:rsidRPr="000B3F68">
        <w:t>% к 2012 году в текущих ценах. Индекс физического объема инвестиций в основной капит</w:t>
      </w:r>
      <w:r>
        <w:t>ал в сопоставимых ценах – 108,8</w:t>
      </w:r>
      <w:r w:rsidRPr="000B3F68">
        <w:t>%.</w:t>
      </w:r>
    </w:p>
    <w:p w:rsidR="000B3F68" w:rsidRDefault="000B3F68" w:rsidP="001626E0">
      <w:pPr>
        <w:jc w:val="both"/>
      </w:pPr>
      <w:r w:rsidRPr="000B3F68">
        <w:t>Прирост инвестиций в основной капитал по крупным и средним организациям области за 2013 год</w:t>
      </w:r>
      <w:r w:rsidR="00EC1703">
        <w:t xml:space="preserve"> к 2012 году составил 9,4 млрд.</w:t>
      </w:r>
      <w:r w:rsidRPr="000B3F68">
        <w:t>рублей, индекс физическо</w:t>
      </w:r>
      <w:r w:rsidR="00EC1703">
        <w:t>го объема – 122,1</w:t>
      </w:r>
      <w:r w:rsidRPr="000B3F68">
        <w:t>%.</w:t>
      </w:r>
    </w:p>
    <w:p w:rsidR="000B3F68" w:rsidRDefault="000B3F68" w:rsidP="000B3F68">
      <w:pPr>
        <w:jc w:val="both"/>
      </w:pPr>
      <w:r>
        <w:t xml:space="preserve">Доля обрабатывающих производств в общем объеме инвестиций крупных и средних организаций составила 41,4%, производство и распределение электроэнергии, газа и воды – 6,6%. Доля инвестиций, </w:t>
      </w:r>
      <w:r>
        <w:lastRenderedPageBreak/>
        <w:t>направленных в транспорт и связь в общем объеме инвестиций крупных и средних организаций – 22,1%, в жилищное строительство – 7,0%, в сельское хозяйство – 6,3%, в торговлю – 2,5%.</w:t>
      </w:r>
    </w:p>
    <w:p w:rsidR="000B3F68" w:rsidRDefault="000B3F68" w:rsidP="000B3F68">
      <w:pPr>
        <w:jc w:val="both"/>
      </w:pPr>
      <w:r>
        <w:t>Инвестиции в основной капитал, направленные в образование, здравоохранение, предоставление социальных, коммунальных и прочих услуг составили 12,0% в общем объеме инвестиций крупных и средних организаций.</w:t>
      </w:r>
    </w:p>
    <w:p w:rsidR="000B3F68" w:rsidRDefault="000B3F68" w:rsidP="000B3F68">
      <w:pPr>
        <w:jc w:val="both"/>
      </w:pPr>
      <w:r>
        <w:t>Рост инвестиций в основной капитал в 2013 году к 2012 году обеспечен за счет реализации инвестиционных проектов в промышленности, транспорте и связи, сельском хозяйстве, жилищном строительстве, оптовой и розничной торговле, здравоохранении.</w:t>
      </w:r>
    </w:p>
    <w:p w:rsidR="000B3F68" w:rsidRDefault="000B3F68" w:rsidP="000B3F68">
      <w:pPr>
        <w:jc w:val="both"/>
      </w:pPr>
      <w:r>
        <w:t xml:space="preserve">За счет бюджетных средств в 2013 году профинансировано 17,5% от общего объема инвестиций в основной капитал. </w:t>
      </w:r>
    </w:p>
    <w:p w:rsidR="000B3F68" w:rsidRDefault="000B3F68" w:rsidP="000B3F68">
      <w:pPr>
        <w:jc w:val="both"/>
      </w:pPr>
      <w:r>
        <w:t>По предварительной оценке в 2014 году организациями области будет направлено в осн</w:t>
      </w:r>
      <w:r w:rsidR="00EC1703">
        <w:t>овной капитал 60,1 млрд.рублей, что на 7,5 млрд.</w:t>
      </w:r>
      <w:r>
        <w:t>рублей больше, чем в 2013 году. Индекс физического объема инвестиций в основной капитал по предварительной оценке составит 108,0%.</w:t>
      </w:r>
    </w:p>
    <w:p w:rsidR="000B3F68" w:rsidRDefault="000B3F68" w:rsidP="000B3F68">
      <w:pPr>
        <w:jc w:val="both"/>
      </w:pPr>
      <w:r>
        <w:t>Доля обрабатывающих производств в объеме инвестиций крупных и средних организаций по прогнозной оценке в 2014 году составит 36,2%. Прирост инвестиций в обрабатывающие производства оценивается на уровне 16,0% к 2013 году.</w:t>
      </w:r>
    </w:p>
    <w:p w:rsidR="000B3F68" w:rsidRDefault="000B3F68" w:rsidP="000B3F68">
      <w:pPr>
        <w:jc w:val="both"/>
      </w:pPr>
      <w:r>
        <w:t>Инвестиции в обрабатывающие производства будут обеспечены за счет реализации крупномасштабных проектов инвестиционной программы ОАО «Акрон» (химическая промышленность – 57,7% от общего объема инвестиций, направленных в обрабатывающие производства), инвестиционных проектов в производстве строительных материалов (ОАО «Цемент), в пищевой промышленности: (ООО «Мон’делис Русь», ООО «УВИК ЗАПАД»).</w:t>
      </w:r>
    </w:p>
    <w:p w:rsidR="000B3F68" w:rsidRDefault="000B3F68" w:rsidP="000B3F68">
      <w:pPr>
        <w:jc w:val="both"/>
      </w:pPr>
      <w:r>
        <w:t xml:space="preserve">В лесоперерабатывающем комплексе области реализуется два проекта, включенные в перечень приоритетных инвестиционных проектов в области освоения лесов: создание производства пиломатериалов и развитие лесной инфраструктуры ООО «Хасслахерлес»; создание лесопромышленного комплекса ООО «Крестецкий лесопромышленный комплекс». Промышленная группа ИКЕА реализует на территории области проекты по деревообработке и производству мебели. На среднесрочную перспективу планируется строительство целлюлозного комбината в Пестовском районе области (ООО «Континентальинвест»). ООО «Лесная инновационная компания» начала реализацию проекта по созданию традиционных и инновационных строительных материалов на основе комплексного </w:t>
      </w:r>
      <w:r>
        <w:lastRenderedPageBreak/>
        <w:t>использования лесных ресурсов. Рост инвестиций в деревообработку в 2014 году оценивается на уровне 74,0% к 2013 году.</w:t>
      </w:r>
    </w:p>
    <w:p w:rsidR="000B3F68" w:rsidRDefault="000B3F68" w:rsidP="000B3F68">
      <w:pPr>
        <w:jc w:val="both"/>
      </w:pPr>
      <w:r>
        <w:t>Прирост инвестиций направляемых в топливно-энергетический комплекс в 2014 году к уровню 2013 года составит 10</w:t>
      </w:r>
      <w:r w:rsidR="00EC1703">
        <w:t>,0</w:t>
      </w:r>
      <w:r>
        <w:t>%.</w:t>
      </w:r>
    </w:p>
    <w:p w:rsidR="000B3F68" w:rsidRDefault="000B3F68" w:rsidP="000B3F68">
      <w:pPr>
        <w:jc w:val="both"/>
      </w:pPr>
      <w:r>
        <w:t>В топливно-энергетическом комплексе реализуются проекты по реконструкции и техническому перевооружению и модернизации действующих подстанций и высоковольтных линий в рамках инвестиционных программ ОАО «Новгородоблэлектро», филиала ОАО «МРСК Северо-Запада» «Новгородэнерго». ОАО «Норд Энерго» за счет частных инвестиций реализует проекты по строительству котельных. ОАО «ФСК ЕЭС» реализует проект по строительству подстанции «Ручей» в Чудовском муниципальном районе. ОАО «Системный оператор единой энергетической системы» завершил строительство административного здания в Великом Новгороде.</w:t>
      </w:r>
    </w:p>
    <w:p w:rsidR="000B3F68" w:rsidRDefault="000B3F68" w:rsidP="000B3F68">
      <w:pPr>
        <w:jc w:val="both"/>
      </w:pPr>
      <w:r>
        <w:t>Удельный вес инвестиций, направленных в транспорт и связь, в 2014 году составит 33,0% в общем объеме инвестиций крупных и средних организаций области. Прирост инвестиций в 2014 году оценивается на уровне 70,0% к 2013 году.</w:t>
      </w:r>
    </w:p>
    <w:p w:rsidR="000B3F68" w:rsidRDefault="000B3F68" w:rsidP="000B3F68">
      <w:pPr>
        <w:jc w:val="both"/>
      </w:pPr>
      <w:r>
        <w:t>Начата реализация крупномасштабного проекта «Строительство скоростной автомобильной дороги Москва-Санкт-Петербург» (с последующей эксплуатацией на платной основе), 6 этап 334-543 км». Продолжается реализация проекта по строительству четырехполосной дороги с мостом через реку Волхов финансируется за счет бюджетных средств.</w:t>
      </w:r>
    </w:p>
    <w:p w:rsidR="000B3F68" w:rsidRDefault="000B3F68" w:rsidP="000B3F68">
      <w:pPr>
        <w:jc w:val="both"/>
      </w:pPr>
      <w:r>
        <w:t>Естественные монополии (ОАО «Газпром», ОАО «Транснефть, ООО «Газпроминвест», ОАО «Октябрьская железная дорога») осуществляют инвестиции в поддержание и развитие своей инфраструктуры на территории области.</w:t>
      </w:r>
    </w:p>
    <w:p w:rsidR="000B3F68" w:rsidRDefault="000B3F68" w:rsidP="000B3F68">
      <w:pPr>
        <w:jc w:val="both"/>
      </w:pPr>
      <w:r>
        <w:t>За счет активизации жилищного строительства прирост инвестиций по виду деятельности операции с недвижимым имуществом, аренда и предоставление услуг оценивается на уровне 55,0%, доля в общем объеме инвестиций</w:t>
      </w:r>
      <w:r w:rsidR="00740495">
        <w:t xml:space="preserve"> </w:t>
      </w:r>
      <w:r>
        <w:t>крупных и средних организаций составит 10,0%.</w:t>
      </w:r>
    </w:p>
    <w:p w:rsidR="000B3F68" w:rsidRDefault="000B3F68" w:rsidP="000B3F68">
      <w:pPr>
        <w:jc w:val="both"/>
      </w:pPr>
      <w:r>
        <w:t>Снижение инвестиций в социальную сферу связано с сокращение объемов бюджетного финансирования, окончанием реализации региональной программы модернизации здравоохранения Новгородской области на 2011-2013 годы.</w:t>
      </w:r>
    </w:p>
    <w:p w:rsidR="000B3F68" w:rsidRDefault="000B3F68" w:rsidP="000B3F68">
      <w:pPr>
        <w:jc w:val="both"/>
      </w:pPr>
      <w:r>
        <w:t xml:space="preserve">В структуре источников финансирования инвестиций в 2014 году собственные средства составят 35,0%, кредиты банков – 15,0%, заемные средства организаций – 9,0%, бюджетное финансирование – 26,0%. Увеличение бюджетного финансирования связано с финансированием </w:t>
      </w:r>
      <w:r>
        <w:lastRenderedPageBreak/>
        <w:t>строительства четырехполосной дороги с мостом через реку Волхов и скорост</w:t>
      </w:r>
      <w:r w:rsidR="00EC1703">
        <w:t>ной автомобильной дороги Москва-</w:t>
      </w:r>
      <w:r>
        <w:t>Санкт-Петербург».</w:t>
      </w:r>
    </w:p>
    <w:p w:rsidR="000B3F68" w:rsidRDefault="000B3F68" w:rsidP="000B3F68">
      <w:pPr>
        <w:jc w:val="both"/>
      </w:pPr>
      <w:r>
        <w:t>Прирост инвестиций в основной капитал на с</w:t>
      </w:r>
      <w:r w:rsidR="001069EB">
        <w:t>а</w:t>
      </w:r>
      <w:r>
        <w:t>реднесрочную перспективу будет обеспечен за счет реализации крупномасштабного проекта по строительству скоростной автомобильной дороги Москва-Санкт-Петербург», проектов в сфере деревообработки, производстве строительных материалов, пищевой промышленности.</w:t>
      </w:r>
    </w:p>
    <w:p w:rsidR="00CA742C" w:rsidRPr="00542B65" w:rsidRDefault="000B3F68" w:rsidP="000B3F68">
      <w:pPr>
        <w:jc w:val="both"/>
        <w:rPr>
          <w:highlight w:val="yellow"/>
        </w:rPr>
      </w:pPr>
      <w:r>
        <w:t>В среднесрочной перспективе прирост инвестиций в основной капитал оценивается на уровне не менее 8,0% в 2015, 2016 годах, 25,0% в 2017 году. Во втором варианте объем инвестиций к 2017 году прогнозируется увеличить в 2,5 раза по сравнению с 2013 годом.</w:t>
      </w:r>
    </w:p>
    <w:p w:rsidR="00CA742C" w:rsidRPr="000B3F68" w:rsidRDefault="00BD21FC" w:rsidP="000B3F68">
      <w:pPr>
        <w:ind w:firstLine="0"/>
        <w:jc w:val="center"/>
        <w:rPr>
          <w:b/>
        </w:rPr>
      </w:pPr>
      <w:r w:rsidRPr="000B3F68">
        <w:rPr>
          <w:b/>
        </w:rPr>
        <w:t>5</w:t>
      </w:r>
      <w:r w:rsidR="00CA742C" w:rsidRPr="000B3F68">
        <w:rPr>
          <w:b/>
        </w:rPr>
        <w:t>. Строительство</w:t>
      </w:r>
    </w:p>
    <w:p w:rsidR="0007420F" w:rsidRPr="0007420F" w:rsidRDefault="0007420F" w:rsidP="0007420F">
      <w:pPr>
        <w:jc w:val="both"/>
        <w:rPr>
          <w:rFonts w:eastAsia="Times New Roman"/>
          <w:color w:val="000000"/>
          <w:lang w:eastAsia="ru-RU"/>
        </w:rPr>
      </w:pPr>
      <w:r>
        <w:rPr>
          <w:rFonts w:eastAsia="Times New Roman"/>
          <w:color w:val="000000"/>
          <w:lang w:eastAsia="ru-RU"/>
        </w:rPr>
        <w:t>О</w:t>
      </w:r>
      <w:r w:rsidRPr="0007420F">
        <w:rPr>
          <w:rFonts w:eastAsia="Times New Roman"/>
          <w:color w:val="000000"/>
          <w:lang w:eastAsia="ru-RU"/>
        </w:rPr>
        <w:t>бъем работ, выполненный по виду деятельности «Строительство</w:t>
      </w:r>
      <w:r>
        <w:rPr>
          <w:rFonts w:eastAsia="Times New Roman"/>
          <w:color w:val="000000"/>
          <w:lang w:eastAsia="ru-RU"/>
        </w:rPr>
        <w:t>», за 2013 год составил 26101,8 </w:t>
      </w:r>
      <w:r w:rsidRPr="0007420F">
        <w:rPr>
          <w:rFonts w:eastAsia="Times New Roman"/>
          <w:color w:val="000000"/>
          <w:lang w:eastAsia="ru-RU"/>
        </w:rPr>
        <w:t>млн.руб</w:t>
      </w:r>
      <w:r>
        <w:rPr>
          <w:rFonts w:eastAsia="Times New Roman"/>
          <w:color w:val="000000"/>
          <w:lang w:eastAsia="ru-RU"/>
        </w:rPr>
        <w:t>лей.</w:t>
      </w:r>
      <w:r w:rsidRPr="0007420F">
        <w:rPr>
          <w:rFonts w:eastAsia="Times New Roman"/>
          <w:color w:val="000000"/>
          <w:lang w:eastAsia="ru-RU"/>
        </w:rPr>
        <w:t xml:space="preserve"> За 9 месяцев 2014 года данный</w:t>
      </w:r>
      <w:r>
        <w:rPr>
          <w:rFonts w:eastAsia="Times New Roman"/>
          <w:color w:val="000000"/>
          <w:lang w:eastAsia="ru-RU"/>
        </w:rPr>
        <w:t xml:space="preserve"> показатель составил 15025 млн.</w:t>
      </w:r>
      <w:r w:rsidRPr="0007420F">
        <w:rPr>
          <w:rFonts w:eastAsia="Times New Roman"/>
          <w:color w:val="000000"/>
          <w:lang w:eastAsia="ru-RU"/>
        </w:rPr>
        <w:t>рублей, индекс физического объема к соотв</w:t>
      </w:r>
      <w:r>
        <w:rPr>
          <w:rFonts w:eastAsia="Times New Roman"/>
          <w:color w:val="000000"/>
          <w:lang w:eastAsia="ru-RU"/>
        </w:rPr>
        <w:t xml:space="preserve">етствующему периоду 2013 года – </w:t>
      </w:r>
      <w:r w:rsidRPr="0007420F">
        <w:rPr>
          <w:rFonts w:eastAsia="Times New Roman"/>
          <w:color w:val="000000"/>
          <w:lang w:eastAsia="ru-RU"/>
        </w:rPr>
        <w:t>94,1%.</w:t>
      </w:r>
    </w:p>
    <w:p w:rsidR="0007420F" w:rsidRPr="0007420F" w:rsidRDefault="0007420F" w:rsidP="0007420F">
      <w:pPr>
        <w:jc w:val="both"/>
        <w:rPr>
          <w:rFonts w:eastAsia="Times New Roman"/>
          <w:color w:val="000000"/>
          <w:lang w:eastAsia="ru-RU"/>
        </w:rPr>
      </w:pPr>
      <w:r w:rsidRPr="0007420F">
        <w:rPr>
          <w:rFonts w:eastAsia="Times New Roman"/>
          <w:color w:val="000000"/>
          <w:lang w:eastAsia="ru-RU"/>
        </w:rPr>
        <w:t xml:space="preserve">Снижение показателя в 2014 году обусловлено тем, что в </w:t>
      </w:r>
      <w:r>
        <w:rPr>
          <w:rFonts w:eastAsia="Times New Roman"/>
          <w:color w:val="000000"/>
          <w:lang w:val="en-US" w:eastAsia="ru-RU"/>
        </w:rPr>
        <w:t>I</w:t>
      </w:r>
      <w:r w:rsidRPr="0007420F">
        <w:rPr>
          <w:rFonts w:eastAsia="Times New Roman"/>
          <w:color w:val="000000"/>
          <w:lang w:eastAsia="ru-RU"/>
        </w:rPr>
        <w:t xml:space="preserve"> полугодии 2013 года активно велось строительство объекта «Автомобильная дорога от автомобильной дороги «Великий Новгород-Хутынь» до автомобильной дороги «Великий Новгород-Луга» с мостом через реку Волхов в Великом Новгороде (Деревяницкий микрорайон) этап 1А» с привлечением средств федерального бюджета. За аналогичный период текущего года работы на данном объекте выполняются в значительно меньшем объеме.</w:t>
      </w:r>
    </w:p>
    <w:p w:rsidR="0007420F" w:rsidRPr="0007420F" w:rsidRDefault="00EC1703" w:rsidP="00791597">
      <w:pPr>
        <w:jc w:val="both"/>
        <w:rPr>
          <w:rFonts w:eastAsia="Times New Roman"/>
          <w:color w:val="000000"/>
          <w:lang w:eastAsia="ru-RU"/>
        </w:rPr>
      </w:pPr>
      <w:r>
        <w:rPr>
          <w:rFonts w:eastAsia="Times New Roman"/>
          <w:color w:val="000000"/>
          <w:lang w:eastAsia="ru-RU"/>
        </w:rPr>
        <w:t xml:space="preserve">В 2014 году по объему работ, выполненных </w:t>
      </w:r>
      <w:r w:rsidRPr="0007420F">
        <w:rPr>
          <w:rFonts w:eastAsia="Times New Roman"/>
          <w:color w:val="000000"/>
          <w:lang w:eastAsia="ru-RU"/>
        </w:rPr>
        <w:t>по виду деятельности «Строительство»</w:t>
      </w:r>
      <w:r>
        <w:rPr>
          <w:rFonts w:eastAsia="Times New Roman"/>
          <w:color w:val="000000"/>
          <w:lang w:eastAsia="ru-RU"/>
        </w:rPr>
        <w:t xml:space="preserve"> ожидается повышение значения показателя на 0,1%</w:t>
      </w:r>
      <w:r w:rsidR="00791597">
        <w:rPr>
          <w:rFonts w:eastAsia="Times New Roman"/>
          <w:color w:val="000000"/>
          <w:lang w:eastAsia="ru-RU"/>
        </w:rPr>
        <w:t xml:space="preserve"> к уровню 2013 года и составит 27042,4 млн.рублей. </w:t>
      </w:r>
      <w:r w:rsidR="0007420F" w:rsidRPr="0007420F">
        <w:rPr>
          <w:rFonts w:eastAsia="Times New Roman"/>
          <w:color w:val="000000"/>
          <w:lang w:eastAsia="ru-RU"/>
        </w:rPr>
        <w:t>Прогнозируемый до 2017 года рост объемов работ планируется обеспечить за счет увеличения объемов жилищного и дорожного строительства.</w:t>
      </w:r>
    </w:p>
    <w:p w:rsidR="0007420F" w:rsidRPr="0007420F" w:rsidRDefault="0007420F" w:rsidP="0007420F">
      <w:pPr>
        <w:jc w:val="both"/>
        <w:rPr>
          <w:rFonts w:eastAsia="Times New Roman"/>
          <w:color w:val="000000"/>
          <w:lang w:eastAsia="ru-RU"/>
        </w:rPr>
      </w:pPr>
      <w:r>
        <w:rPr>
          <w:rFonts w:eastAsia="Times New Roman"/>
          <w:color w:val="000000"/>
          <w:lang w:eastAsia="ru-RU"/>
        </w:rPr>
        <w:t>В</w:t>
      </w:r>
      <w:r w:rsidRPr="0007420F">
        <w:rPr>
          <w:rFonts w:eastAsia="Times New Roman"/>
          <w:color w:val="000000"/>
          <w:lang w:eastAsia="ru-RU"/>
        </w:rPr>
        <w:t>вод в действие жилых домов по Новгородской области за 201</w:t>
      </w:r>
      <w:r w:rsidR="00791597">
        <w:rPr>
          <w:rFonts w:eastAsia="Times New Roman"/>
          <w:color w:val="000000"/>
          <w:lang w:eastAsia="ru-RU"/>
        </w:rPr>
        <w:t>3</w:t>
      </w:r>
      <w:r w:rsidRPr="0007420F">
        <w:rPr>
          <w:rFonts w:eastAsia="Times New Roman"/>
          <w:color w:val="000000"/>
          <w:lang w:eastAsia="ru-RU"/>
        </w:rPr>
        <w:t xml:space="preserve"> год составил 323</w:t>
      </w:r>
      <w:r w:rsidR="00791597">
        <w:rPr>
          <w:rFonts w:eastAsia="Times New Roman"/>
          <w:color w:val="000000"/>
          <w:lang w:eastAsia="ru-RU"/>
        </w:rPr>
        <w:t>,</w:t>
      </w:r>
      <w:r w:rsidRPr="0007420F">
        <w:rPr>
          <w:rFonts w:eastAsia="Times New Roman"/>
          <w:color w:val="000000"/>
          <w:lang w:eastAsia="ru-RU"/>
        </w:rPr>
        <w:t>1</w:t>
      </w:r>
      <w:r w:rsidR="00791597">
        <w:rPr>
          <w:rFonts w:eastAsia="Times New Roman"/>
          <w:color w:val="000000"/>
          <w:lang w:eastAsia="ru-RU"/>
        </w:rPr>
        <w:t xml:space="preserve"> тыс.</w:t>
      </w:r>
      <w:r w:rsidRPr="0007420F">
        <w:rPr>
          <w:rFonts w:eastAsia="Times New Roman"/>
          <w:color w:val="000000"/>
          <w:lang w:eastAsia="ru-RU"/>
        </w:rPr>
        <w:t>кв.м</w:t>
      </w:r>
      <w:r>
        <w:rPr>
          <w:rFonts w:eastAsia="Times New Roman"/>
          <w:color w:val="000000"/>
          <w:lang w:eastAsia="ru-RU"/>
        </w:rPr>
        <w:t>,</w:t>
      </w:r>
      <w:r w:rsidR="00791597">
        <w:rPr>
          <w:rFonts w:eastAsia="Times New Roman"/>
          <w:color w:val="000000"/>
          <w:lang w:eastAsia="ru-RU"/>
        </w:rPr>
        <w:t xml:space="preserve"> </w:t>
      </w:r>
      <w:r>
        <w:rPr>
          <w:rFonts w:eastAsia="Times New Roman"/>
          <w:color w:val="000000"/>
          <w:lang w:eastAsia="ru-RU"/>
        </w:rPr>
        <w:t>103,1</w:t>
      </w:r>
      <w:r w:rsidRPr="0007420F">
        <w:rPr>
          <w:rFonts w:eastAsia="Times New Roman"/>
          <w:color w:val="000000"/>
          <w:lang w:eastAsia="ru-RU"/>
        </w:rPr>
        <w:t>%</w:t>
      </w:r>
      <w:r w:rsidR="00791597">
        <w:rPr>
          <w:rFonts w:eastAsia="Times New Roman"/>
          <w:color w:val="000000"/>
          <w:lang w:eastAsia="ru-RU"/>
        </w:rPr>
        <w:t xml:space="preserve"> к уровню 2012 года</w:t>
      </w:r>
      <w:r w:rsidRPr="0007420F">
        <w:rPr>
          <w:rFonts w:eastAsia="Times New Roman"/>
          <w:color w:val="000000"/>
          <w:lang w:eastAsia="ru-RU"/>
        </w:rPr>
        <w:t>.</w:t>
      </w:r>
    </w:p>
    <w:p w:rsidR="00F863F5" w:rsidRDefault="0007420F" w:rsidP="0007420F">
      <w:pPr>
        <w:jc w:val="both"/>
        <w:rPr>
          <w:rFonts w:eastAsia="Times New Roman"/>
          <w:color w:val="000000"/>
          <w:lang w:eastAsia="ru-RU"/>
        </w:rPr>
      </w:pPr>
      <w:r w:rsidRPr="0007420F">
        <w:rPr>
          <w:rFonts w:eastAsia="Times New Roman"/>
          <w:color w:val="000000"/>
          <w:lang w:eastAsia="ru-RU"/>
        </w:rPr>
        <w:t>Доля индивидуального жилищного строительства в общем объеме введенного жилья за 2013 год составила 45,5%. На период 2014-2017 годов прогнозируется увеличение доли индивидуального жилищного строительства в общем объеме введенного жилья до 60</w:t>
      </w:r>
      <w:r>
        <w:rPr>
          <w:rFonts w:eastAsia="Times New Roman"/>
          <w:color w:val="000000"/>
          <w:lang w:eastAsia="ru-RU"/>
        </w:rPr>
        <w:t>,0</w:t>
      </w:r>
      <w:r w:rsidRPr="0007420F">
        <w:rPr>
          <w:rFonts w:eastAsia="Times New Roman"/>
          <w:color w:val="000000"/>
          <w:lang w:eastAsia="ru-RU"/>
        </w:rPr>
        <w:t>%.</w:t>
      </w:r>
    </w:p>
    <w:p w:rsidR="00791597" w:rsidRPr="00542B65" w:rsidRDefault="00791597" w:rsidP="0007420F">
      <w:pPr>
        <w:jc w:val="both"/>
        <w:rPr>
          <w:rFonts w:eastAsia="Times New Roman"/>
          <w:color w:val="000000"/>
          <w:highlight w:val="yellow"/>
          <w:lang w:eastAsia="ru-RU"/>
        </w:rPr>
      </w:pPr>
      <w:r>
        <w:rPr>
          <w:rFonts w:eastAsia="Times New Roman"/>
          <w:color w:val="000000"/>
          <w:lang w:eastAsia="ru-RU"/>
        </w:rPr>
        <w:t>В 2014 году по оценке ввод в действие жилых домов составит 350,0 тыс.</w:t>
      </w:r>
      <w:r w:rsidRPr="0007420F">
        <w:rPr>
          <w:rFonts w:eastAsia="Times New Roman"/>
          <w:color w:val="000000"/>
          <w:lang w:eastAsia="ru-RU"/>
        </w:rPr>
        <w:t>кв.м</w:t>
      </w:r>
      <w:r>
        <w:rPr>
          <w:rFonts w:eastAsia="Times New Roman"/>
          <w:color w:val="000000"/>
          <w:lang w:eastAsia="ru-RU"/>
        </w:rPr>
        <w:t>. В 2017 году объем жилищного строительства составит 395-565 тыс.</w:t>
      </w:r>
      <w:r w:rsidRPr="0007420F">
        <w:rPr>
          <w:rFonts w:eastAsia="Times New Roman"/>
          <w:color w:val="000000"/>
          <w:lang w:eastAsia="ru-RU"/>
        </w:rPr>
        <w:t>кв.м</w:t>
      </w:r>
      <w:r>
        <w:rPr>
          <w:rFonts w:eastAsia="Times New Roman"/>
          <w:color w:val="000000"/>
          <w:lang w:eastAsia="ru-RU"/>
        </w:rPr>
        <w:t>.</w:t>
      </w:r>
    </w:p>
    <w:p w:rsidR="007B7284" w:rsidRPr="001069EB" w:rsidRDefault="00BD21FC" w:rsidP="00AC5EA1">
      <w:pPr>
        <w:ind w:firstLine="0"/>
        <w:jc w:val="center"/>
        <w:rPr>
          <w:rFonts w:eastAsia="Times New Roman"/>
          <w:b/>
          <w:color w:val="000000"/>
          <w:lang w:eastAsia="ru-RU"/>
        </w:rPr>
      </w:pPr>
      <w:r w:rsidRPr="001069EB">
        <w:rPr>
          <w:rFonts w:eastAsia="Times New Roman"/>
          <w:b/>
          <w:color w:val="000000"/>
          <w:lang w:eastAsia="ru-RU"/>
        </w:rPr>
        <w:t>6</w:t>
      </w:r>
      <w:r w:rsidR="007B7284" w:rsidRPr="001069EB">
        <w:rPr>
          <w:rFonts w:eastAsia="Times New Roman"/>
          <w:b/>
          <w:color w:val="000000"/>
          <w:lang w:eastAsia="ru-RU"/>
        </w:rPr>
        <w:t>. Внешняя торговля</w:t>
      </w:r>
    </w:p>
    <w:p w:rsidR="007B7284" w:rsidRPr="001069EB" w:rsidRDefault="007B7284" w:rsidP="001626E0">
      <w:pPr>
        <w:jc w:val="both"/>
      </w:pPr>
      <w:r w:rsidRPr="001069EB">
        <w:t xml:space="preserve">Развитие внешнеэкономических отношений области с зарубежными партнерами в 2015-2017 годах получат свое дальнейшее развитие. </w:t>
      </w:r>
      <w:r w:rsidRPr="001069EB">
        <w:lastRenderedPageBreak/>
        <w:t>Внешнеторговый оборот (далее ВТО) области в 2017 году достигнет 2061</w:t>
      </w:r>
      <w:r w:rsidR="00AC5EA1" w:rsidRPr="001069EB">
        <w:t>-2120</w:t>
      </w:r>
      <w:r w:rsidR="00791597">
        <w:t xml:space="preserve"> млн.</w:t>
      </w:r>
      <w:r w:rsidRPr="001069EB">
        <w:t>долл</w:t>
      </w:r>
      <w:r w:rsidR="00791597">
        <w:t>аров</w:t>
      </w:r>
      <w:r w:rsidRPr="001069EB">
        <w:t xml:space="preserve"> США и составит 104,0% к уровню 2013 года. Сальдо внешнеторгового оборота области останется положительным.</w:t>
      </w:r>
    </w:p>
    <w:p w:rsidR="007B7284" w:rsidRPr="001069EB" w:rsidRDefault="007B7284" w:rsidP="001626E0">
      <w:pPr>
        <w:jc w:val="both"/>
      </w:pPr>
      <w:r w:rsidRPr="001069EB">
        <w:t>Наиболее активны связи Новгородской области со странами дальнего зарубежья, их доля в общем объеме экспорта и импорта сохранится на уровне 85,0%.</w:t>
      </w:r>
    </w:p>
    <w:p w:rsidR="007B7284" w:rsidRPr="001069EB" w:rsidRDefault="007B7284" w:rsidP="001626E0">
      <w:pPr>
        <w:jc w:val="both"/>
      </w:pPr>
      <w:r w:rsidRPr="001069EB">
        <w:t>Область имеет ярко выраженную экспортную ориентацию внешней торговли, стоимость экспорта составляет 63,0% ВТО области.</w:t>
      </w:r>
    </w:p>
    <w:p w:rsidR="007B7284" w:rsidRPr="001069EB" w:rsidRDefault="007B7284" w:rsidP="001626E0">
      <w:pPr>
        <w:jc w:val="both"/>
      </w:pPr>
      <w:r w:rsidRPr="001069EB">
        <w:t>В 2015-2017 годах ежегодный рост объема экспортных поставок продукции и услуг прогнозируется в среднем на 2,0% и достигнет в 2017 году 1,</w:t>
      </w:r>
      <w:r w:rsidR="00AC5EA1" w:rsidRPr="001069EB">
        <w:t>2</w:t>
      </w:r>
      <w:r w:rsidR="00791597">
        <w:t xml:space="preserve"> млрд.</w:t>
      </w:r>
      <w:r w:rsidRPr="001069EB">
        <w:t>долл</w:t>
      </w:r>
      <w:r w:rsidR="00791597">
        <w:t>аров</w:t>
      </w:r>
      <w:r w:rsidRPr="001069EB">
        <w:t xml:space="preserve"> США. Рост стоимости экспорта произойдет за счет постепенного увеличения физических и стоимостных объемов поставок основных видов экспортируемой продукции, в том числе продукции химической промышленности ОАО «Акрон».</w:t>
      </w:r>
    </w:p>
    <w:p w:rsidR="00AC5EA1" w:rsidRPr="001069EB" w:rsidRDefault="007B7284" w:rsidP="001626E0">
      <w:pPr>
        <w:jc w:val="both"/>
      </w:pPr>
      <w:r w:rsidRPr="001069EB">
        <w:t>В 2014 году стоимость экспорта в страны дальнего зарубежья составит 1</w:t>
      </w:r>
      <w:r w:rsidR="00AC5EA1" w:rsidRPr="001069EB">
        <w:t>,</w:t>
      </w:r>
      <w:r w:rsidRPr="001069EB">
        <w:t>1</w:t>
      </w:r>
      <w:r w:rsidR="00AC5EA1" w:rsidRPr="001069EB">
        <w:t>-1,2</w:t>
      </w:r>
      <w:r w:rsidRPr="001069EB">
        <w:t xml:space="preserve"> мл</w:t>
      </w:r>
      <w:r w:rsidR="00AC5EA1" w:rsidRPr="001069EB">
        <w:t>рд</w:t>
      </w:r>
      <w:r w:rsidR="00791597">
        <w:t>.</w:t>
      </w:r>
      <w:r w:rsidRPr="001069EB">
        <w:t>долл</w:t>
      </w:r>
      <w:r w:rsidR="00791597">
        <w:t>аров</w:t>
      </w:r>
      <w:r w:rsidRPr="001069EB">
        <w:t xml:space="preserve"> США или 88,0% объема экспорта области. Основными странами, в которые осуществляются экспортные поставки, являются: Китай, США, Финляндия, Бразилия, Таиланд, Эст</w:t>
      </w:r>
      <w:r w:rsidR="00791597">
        <w:t>ония, Литва, Перу, Латвия и др.</w:t>
      </w:r>
    </w:p>
    <w:p w:rsidR="007B7284" w:rsidRPr="001069EB" w:rsidRDefault="007B7284" w:rsidP="001626E0">
      <w:pPr>
        <w:jc w:val="both"/>
      </w:pPr>
      <w:r w:rsidRPr="001069EB">
        <w:t>Экспорт в страны СНГ составит 12,0% экспортных поставок области и возрастет к 2017 году до</w:t>
      </w:r>
      <w:r w:rsidR="00AC5EA1" w:rsidRPr="001069EB">
        <w:t xml:space="preserve"> 160-</w:t>
      </w:r>
      <w:r w:rsidRPr="001069EB">
        <w:t>167,0 млн.долларов США. Наибольшие объемы поставок будут осуществляться в Республику Беларусь</w:t>
      </w:r>
      <w:r w:rsidR="009D3B18">
        <w:t xml:space="preserve"> и</w:t>
      </w:r>
      <w:r w:rsidRPr="001069EB">
        <w:t xml:space="preserve"> Казахстан.</w:t>
      </w:r>
    </w:p>
    <w:p w:rsidR="007B7284" w:rsidRPr="001069EB" w:rsidRDefault="007B7284" w:rsidP="001626E0">
      <w:pPr>
        <w:jc w:val="both"/>
      </w:pPr>
      <w:r w:rsidRPr="001069EB">
        <w:t>Структура экспортных поставок по основным группам товаров в 2014-2017 годах будет выглядеть следующим образом:</w:t>
      </w:r>
    </w:p>
    <w:p w:rsidR="007B7284" w:rsidRPr="001069EB" w:rsidRDefault="007B7284" w:rsidP="001626E0">
      <w:pPr>
        <w:jc w:val="both"/>
      </w:pPr>
      <w:r w:rsidRPr="001069EB">
        <w:t>продукция химической промышленности;</w:t>
      </w:r>
    </w:p>
    <w:p w:rsidR="007B7284" w:rsidRPr="001069EB" w:rsidRDefault="007B7284" w:rsidP="001626E0">
      <w:pPr>
        <w:jc w:val="both"/>
      </w:pPr>
      <w:r w:rsidRPr="001069EB">
        <w:t>древесина и изделия из нее;</w:t>
      </w:r>
    </w:p>
    <w:p w:rsidR="007B7284" w:rsidRPr="001069EB" w:rsidRDefault="007B7284" w:rsidP="001626E0">
      <w:pPr>
        <w:jc w:val="both"/>
      </w:pPr>
      <w:r w:rsidRPr="001069EB">
        <w:t>металлы и изделия из них;</w:t>
      </w:r>
    </w:p>
    <w:p w:rsidR="007B7284" w:rsidRPr="001069EB" w:rsidRDefault="007B7284" w:rsidP="001626E0">
      <w:pPr>
        <w:jc w:val="both"/>
      </w:pPr>
      <w:r w:rsidRPr="001069EB">
        <w:t>продовольственные товары и сырье для их производства;</w:t>
      </w:r>
    </w:p>
    <w:p w:rsidR="007B7284" w:rsidRPr="001069EB" w:rsidRDefault="007B7284" w:rsidP="001626E0">
      <w:pPr>
        <w:jc w:val="both"/>
      </w:pPr>
      <w:r w:rsidRPr="001069EB">
        <w:t>машиностроительная продукция.</w:t>
      </w:r>
    </w:p>
    <w:p w:rsidR="007B7284" w:rsidRPr="001069EB" w:rsidRDefault="007B7284" w:rsidP="001626E0">
      <w:pPr>
        <w:jc w:val="both"/>
      </w:pPr>
      <w:r w:rsidRPr="001069EB">
        <w:t>Импорт товаров в 2015-2017 годах прогнозируется с ежегодным увеличением в среднем на 102,0%. В 2014 году в область по импорту поступи</w:t>
      </w:r>
      <w:r w:rsidR="00791597">
        <w:t>т продукции на сумму 705,0 млн.</w:t>
      </w:r>
      <w:r w:rsidRPr="001069EB">
        <w:t>долл</w:t>
      </w:r>
      <w:r w:rsidR="00791597">
        <w:t>аров</w:t>
      </w:r>
      <w:r w:rsidRPr="001069EB">
        <w:t xml:space="preserve"> США или 100,5% к уровню 2013 года.</w:t>
      </w:r>
    </w:p>
    <w:p w:rsidR="007B7284" w:rsidRPr="001069EB" w:rsidRDefault="007B7284" w:rsidP="001626E0">
      <w:pPr>
        <w:jc w:val="both"/>
      </w:pPr>
      <w:r w:rsidRPr="001069EB">
        <w:t xml:space="preserve">Из стран дальнего зарубежья импортные поступления </w:t>
      </w:r>
      <w:r w:rsidR="00791597">
        <w:t>в 2014 году составят 585,0 млн.</w:t>
      </w:r>
      <w:r w:rsidRPr="001069EB">
        <w:t>долл</w:t>
      </w:r>
      <w:r w:rsidR="00791597">
        <w:t>аров</w:t>
      </w:r>
      <w:r w:rsidRPr="001069EB">
        <w:t xml:space="preserve"> США, в 2017 году – 625 млн.долл</w:t>
      </w:r>
      <w:r w:rsidR="00791597">
        <w:t>аров</w:t>
      </w:r>
      <w:r w:rsidRPr="001069EB">
        <w:t xml:space="preserve"> США или 83,0% импорта области. Наибольшие объемы импортных поступлений будут осуществляться из следующих стран мира: Китая, Германии, Финляндии, Польши, Индонезии, Франции, Швеции,</w:t>
      </w:r>
      <w:r w:rsidR="00F77F1D" w:rsidRPr="001069EB">
        <w:t xml:space="preserve"> </w:t>
      </w:r>
      <w:r w:rsidRPr="001069EB">
        <w:t>Словакии.</w:t>
      </w:r>
    </w:p>
    <w:p w:rsidR="007B7284" w:rsidRPr="001069EB" w:rsidRDefault="007B7284" w:rsidP="001626E0">
      <w:pPr>
        <w:jc w:val="both"/>
      </w:pPr>
      <w:r w:rsidRPr="001069EB">
        <w:t>В 2014 году в странах СНГ будет закуплен</w:t>
      </w:r>
      <w:r w:rsidR="00791597">
        <w:t>о продукции на сумму 120,0 млн.</w:t>
      </w:r>
      <w:r w:rsidRPr="001069EB">
        <w:t>долл</w:t>
      </w:r>
      <w:r w:rsidR="00791597">
        <w:t>аров</w:t>
      </w:r>
      <w:r w:rsidRPr="001069EB">
        <w:t xml:space="preserve"> США, что составляет 102,0% к уровню 2013 года. В 2017 году стоимость импорта из стран СНГ составит 130,0</w:t>
      </w:r>
      <w:r w:rsidR="00AC5EA1" w:rsidRPr="001069EB">
        <w:t>-133,0</w:t>
      </w:r>
      <w:r w:rsidR="00791597">
        <w:t xml:space="preserve"> млн.</w:t>
      </w:r>
      <w:r w:rsidRPr="001069EB">
        <w:t>долл</w:t>
      </w:r>
      <w:r w:rsidR="00791597">
        <w:t>аров</w:t>
      </w:r>
      <w:r w:rsidRPr="001069EB">
        <w:t xml:space="preserve"> США </w:t>
      </w:r>
      <w:r w:rsidRPr="001069EB">
        <w:lastRenderedPageBreak/>
        <w:t>или 111,0</w:t>
      </w:r>
      <w:r w:rsidR="00AC5EA1" w:rsidRPr="001069EB">
        <w:t>-113,0%</w:t>
      </w:r>
      <w:r w:rsidRPr="001069EB">
        <w:t xml:space="preserve"> к уровню 2013 года. Наибольшие объемы поставок будут осуществляться из Республики Беларусь (более 70%).</w:t>
      </w:r>
    </w:p>
    <w:p w:rsidR="007B7284" w:rsidRPr="001069EB" w:rsidRDefault="007B7284" w:rsidP="001626E0">
      <w:pPr>
        <w:jc w:val="both"/>
      </w:pPr>
      <w:r w:rsidRPr="001069EB">
        <w:t>Структура импорта основных товарных групп будет выглядеть следующим образом:</w:t>
      </w:r>
    </w:p>
    <w:p w:rsidR="007B7284" w:rsidRPr="001069EB" w:rsidRDefault="007B7284" w:rsidP="001626E0">
      <w:pPr>
        <w:jc w:val="both"/>
      </w:pPr>
      <w:r w:rsidRPr="001069EB">
        <w:t>обувь и одежда;</w:t>
      </w:r>
    </w:p>
    <w:p w:rsidR="007B7284" w:rsidRPr="001069EB" w:rsidRDefault="007B7284" w:rsidP="001626E0">
      <w:pPr>
        <w:jc w:val="both"/>
      </w:pPr>
      <w:r w:rsidRPr="001069EB">
        <w:t>продукция машиностроения;</w:t>
      </w:r>
    </w:p>
    <w:p w:rsidR="007B7284" w:rsidRPr="001069EB" w:rsidRDefault="007B7284" w:rsidP="001626E0">
      <w:pPr>
        <w:jc w:val="both"/>
      </w:pPr>
      <w:r w:rsidRPr="001069EB">
        <w:t>продукция химической промышленности;</w:t>
      </w:r>
    </w:p>
    <w:p w:rsidR="007B7284" w:rsidRPr="001069EB" w:rsidRDefault="007B7284" w:rsidP="001626E0">
      <w:pPr>
        <w:jc w:val="both"/>
      </w:pPr>
      <w:r w:rsidRPr="001069EB">
        <w:t>товары продовольственной группы;</w:t>
      </w:r>
    </w:p>
    <w:p w:rsidR="007B7284" w:rsidRPr="001069EB" w:rsidRDefault="007B7284" w:rsidP="001626E0">
      <w:pPr>
        <w:jc w:val="both"/>
      </w:pPr>
      <w:r w:rsidRPr="001069EB">
        <w:t>пластмассы и изделия из них;</w:t>
      </w:r>
    </w:p>
    <w:p w:rsidR="007B7284" w:rsidRPr="001069EB" w:rsidRDefault="007B7284" w:rsidP="001626E0">
      <w:pPr>
        <w:jc w:val="both"/>
      </w:pPr>
      <w:r w:rsidRPr="001069EB">
        <w:t>бумага и картон;</w:t>
      </w:r>
    </w:p>
    <w:p w:rsidR="007B7284" w:rsidRPr="001069EB" w:rsidRDefault="007B7284" w:rsidP="001626E0">
      <w:pPr>
        <w:jc w:val="both"/>
      </w:pPr>
      <w:r w:rsidRPr="001069EB">
        <w:t>инструменты, оборудование и механизмы.</w:t>
      </w:r>
    </w:p>
    <w:p w:rsidR="007B7284" w:rsidRPr="00542B65" w:rsidRDefault="007B7284" w:rsidP="001626E0">
      <w:pPr>
        <w:jc w:val="both"/>
        <w:rPr>
          <w:highlight w:val="yellow"/>
        </w:rPr>
      </w:pPr>
      <w:r w:rsidRPr="001069EB">
        <w:t>Средняя экспортная цена на удобрения составит 320,5 долл</w:t>
      </w:r>
      <w:r w:rsidR="00791597">
        <w:t>аров</w:t>
      </w:r>
      <w:r w:rsidRPr="001069EB">
        <w:t xml:space="preserve"> США за одну тонну, на обработанную древесину – 468,8 долл</w:t>
      </w:r>
      <w:r w:rsidR="00791597">
        <w:t>аров</w:t>
      </w:r>
      <w:r w:rsidRPr="001069EB">
        <w:t xml:space="preserve"> США за тонну, на необработанную древесину – 52,6 долл</w:t>
      </w:r>
      <w:r w:rsidR="00791597">
        <w:t>аров</w:t>
      </w:r>
      <w:r w:rsidRPr="001069EB">
        <w:t xml:space="preserve"> США за 1 куб. м, на клееную фанеру – 640,5 долл</w:t>
      </w:r>
      <w:r w:rsidR="00791597">
        <w:t>аров</w:t>
      </w:r>
      <w:r w:rsidRPr="001069EB">
        <w:t xml:space="preserve"> США за 1 тонну, на плиты древесностружечные (ДСП) – 260,0 долл</w:t>
      </w:r>
      <w:r w:rsidR="00791597">
        <w:t>аров</w:t>
      </w:r>
      <w:r w:rsidRPr="001069EB">
        <w:t xml:space="preserve"> США за 1 куб. м.</w:t>
      </w:r>
    </w:p>
    <w:p w:rsidR="007B7284" w:rsidRPr="0007420F" w:rsidRDefault="00BD21FC" w:rsidP="0007420F">
      <w:pPr>
        <w:ind w:firstLine="0"/>
        <w:jc w:val="center"/>
        <w:rPr>
          <w:b/>
        </w:rPr>
      </w:pPr>
      <w:r w:rsidRPr="0007420F">
        <w:rPr>
          <w:b/>
        </w:rPr>
        <w:t>7</w:t>
      </w:r>
      <w:r w:rsidR="007B7284" w:rsidRPr="0007420F">
        <w:rPr>
          <w:b/>
        </w:rPr>
        <w:t>. Потребительский рынок</w:t>
      </w:r>
    </w:p>
    <w:p w:rsidR="0007420F" w:rsidRDefault="0007420F" w:rsidP="0007420F">
      <w:pPr>
        <w:jc w:val="both"/>
      </w:pPr>
      <w:r>
        <w:t>На протяжении последних лет на потребительском рынке области сложилась устойчивая положительная динамика оборота розничной торговли.</w:t>
      </w:r>
    </w:p>
    <w:p w:rsidR="0007420F" w:rsidRDefault="0007420F" w:rsidP="0007420F">
      <w:pPr>
        <w:jc w:val="both"/>
      </w:pPr>
      <w:r>
        <w:t>В 2013 году оборот розничной торговли составил 85,4 млрд.рублей, что в сопоставимых ценах на 4,5% выше, чем в 2012 году и на 0,6% выше показателя по Российской Федерации в целом.</w:t>
      </w:r>
    </w:p>
    <w:p w:rsidR="0007420F" w:rsidRDefault="0007420F" w:rsidP="0007420F">
      <w:pPr>
        <w:jc w:val="both"/>
      </w:pPr>
      <w:r>
        <w:t>Доля субъектов малого и среднего предпринимательства в формировании оборота розничной торговли в 2013 году составила 49</w:t>
      </w:r>
      <w:r w:rsidR="00791597">
        <w:t>,0</w:t>
      </w:r>
      <w:r>
        <w:t>%, по сравнению с 2012 годом она увеличилась на 0,9%.</w:t>
      </w:r>
    </w:p>
    <w:p w:rsidR="0007420F" w:rsidRDefault="0007420F" w:rsidP="0007420F">
      <w:pPr>
        <w:jc w:val="both"/>
      </w:pPr>
      <w:r>
        <w:t>Наблюдающееся изменение структуры оборота розничной торговли по хозяйствующим субъектам связано с незначительным снижением интенсивности развития федеральных розничных торговых сетей на территории области.</w:t>
      </w:r>
    </w:p>
    <w:p w:rsidR="0007420F" w:rsidRDefault="0007420F" w:rsidP="0007420F">
      <w:pPr>
        <w:jc w:val="both"/>
      </w:pPr>
      <w:r>
        <w:t>В 2013 году розничные торговые сети формировали в среднем по области 30,2% общего оборота розничной торговли, что на 0,5% больше, чем в 2012 году. За 2013 год количество торговых объектов, принадлежащих федеральным сетевым компаниям, увеличилось на 37 единиц.</w:t>
      </w:r>
    </w:p>
    <w:p w:rsidR="0007420F" w:rsidRDefault="0007420F" w:rsidP="0007420F">
      <w:pPr>
        <w:jc w:val="both"/>
      </w:pPr>
      <w:r>
        <w:t>В структуре оборота розничной торговли удельный вес пищевых продуктов, включая напитки, и табачных изделий в 2013 году составил 48,7%, непродовольственных товаров – 51,3%, что практически соответствует уровню 2012 года (в 2012 году – 48,8% и 51,2% соответственно).</w:t>
      </w:r>
    </w:p>
    <w:p w:rsidR="0007420F" w:rsidRDefault="0007420F" w:rsidP="0007420F">
      <w:pPr>
        <w:jc w:val="both"/>
      </w:pPr>
      <w:r>
        <w:lastRenderedPageBreak/>
        <w:t>В определенной мере эти изменения свидетельствуют о положительной тенденции роста уровня доходов населения Новгородской области.</w:t>
      </w:r>
    </w:p>
    <w:p w:rsidR="0007420F" w:rsidRDefault="0007420F" w:rsidP="0007420F">
      <w:pPr>
        <w:jc w:val="both"/>
      </w:pPr>
      <w:r>
        <w:t>Прогнозируемый рост объема розничной торговли до 2017 года составит от 0,6% до 4,8%.</w:t>
      </w:r>
    </w:p>
    <w:p w:rsidR="0007420F" w:rsidRDefault="0007420F" w:rsidP="0007420F">
      <w:pPr>
        <w:jc w:val="both"/>
      </w:pPr>
      <w:r>
        <w:t>Рост розничного товарооборота до 2017 года обусловлен дальнейшим развитием торговли на территории области, а именно: расширением сети предприятий – в основном за счет федерального ритейла, развитием конкуренции, распространением современных форматов торговли, повышением эффективности предприятий отрасли.</w:t>
      </w:r>
    </w:p>
    <w:p w:rsidR="0007420F" w:rsidRDefault="0007420F" w:rsidP="0007420F">
      <w:pPr>
        <w:jc w:val="both"/>
      </w:pPr>
      <w:r>
        <w:t>Умеренный рост доходов населения области, потребительское кредитование, снижение склонности населения к сбережению будут также способствовать росту оборота розничной торговли.</w:t>
      </w:r>
    </w:p>
    <w:p w:rsidR="0007420F" w:rsidRDefault="0007420F" w:rsidP="0007420F">
      <w:pPr>
        <w:jc w:val="both"/>
      </w:pPr>
      <w:r>
        <w:t>Доля субъектов малого и среднего предпринимательства в формировании оборота розничной торговли будет незначительно сокращаться вследствие конкуренции со стороны сетевого розничного бизнеса.</w:t>
      </w:r>
    </w:p>
    <w:p w:rsidR="0007420F" w:rsidRDefault="0007420F" w:rsidP="0007420F">
      <w:pPr>
        <w:jc w:val="both"/>
      </w:pPr>
      <w:r>
        <w:t>Сократится объем продаж товаров на розничных рынках и ярмарках в связи с вступлением в силу с 1 января 2015 года нормы федерального законодательства о возможности размещения сельскохозяйственных и сельскохозяйственных кооперативных розничных рынков</w:t>
      </w:r>
      <w:r w:rsidR="00740495">
        <w:t xml:space="preserve"> </w:t>
      </w:r>
      <w:r>
        <w:t>исключительно в капитальных зданиях и сооружениях.</w:t>
      </w:r>
    </w:p>
    <w:p w:rsidR="007B7284" w:rsidRPr="00542B65" w:rsidRDefault="0007420F" w:rsidP="0007420F">
      <w:pPr>
        <w:jc w:val="both"/>
        <w:rPr>
          <w:highlight w:val="yellow"/>
        </w:rPr>
      </w:pPr>
      <w:r>
        <w:t>Прогнозируется умеренный рост темпов оборота розничной торговли, что, в свою очередь, объясняется достижением достаточного высокого уровня потребления товаров населением области, а также имеющейся долговой нагрузкой населения в сфере потребительского кредитования</w:t>
      </w:r>
      <w:r w:rsidR="007B7284" w:rsidRPr="0007420F">
        <w:t>.</w:t>
      </w:r>
    </w:p>
    <w:p w:rsidR="007B7284" w:rsidRPr="0007420F" w:rsidRDefault="007B7284" w:rsidP="001626E0">
      <w:pPr>
        <w:jc w:val="both"/>
      </w:pPr>
      <w:r w:rsidRPr="0007420F">
        <w:t>Прогноз по реализации платных услуг населению на 2015-2017 годы разработан в соответствии с достигнутыми объемами услуг в 2013 году, при этом главным фактором, определяющим масштабы и направления развития сферы платного обслуживания населения является платежеспособный спрос населения</w:t>
      </w:r>
      <w:r w:rsidR="00CB2048" w:rsidRPr="0007420F">
        <w:t xml:space="preserve"> и</w:t>
      </w:r>
      <w:r w:rsidRPr="0007420F">
        <w:t xml:space="preserve"> изменение численности населения.</w:t>
      </w:r>
    </w:p>
    <w:p w:rsidR="007B7284" w:rsidRPr="0007420F" w:rsidRDefault="007B7284" w:rsidP="001626E0">
      <w:pPr>
        <w:jc w:val="both"/>
      </w:pPr>
      <w:r w:rsidRPr="0007420F">
        <w:t xml:space="preserve">Для более полного удовлетворения растущих потребностей населения области всевозможными видами услуг, улучшения их качества, расширения ассортимента, недопущения снижения достигнутых объемов услуг Правительство Новгородской области, Администрации городов и районов, предоставляют налоговые льготы по инвестиционным проектам, направленным на оказание новых, конкурентоспособных видов услуг, создание новых рабочих мест; оказывают поддержку предприятиям сферы услуг путем выделения возвратных средств для осуществления хозяйственной деятельности; в рамках подпрограммы «Развитие малого и среднего предпринимательства» государственной программы Новгородской </w:t>
      </w:r>
      <w:r w:rsidRPr="0007420F">
        <w:lastRenderedPageBreak/>
        <w:t>области «Обеспечение экономического развития Новгородской области на 2014-2016 годы»</w:t>
      </w:r>
      <w:r w:rsidR="00CB2048" w:rsidRPr="0007420F">
        <w:t>, утвержденной постановление Правительства Новгородской области от 17.10.2013 № 267,</w:t>
      </w:r>
      <w:r w:rsidRPr="0007420F">
        <w:t xml:space="preserve"> осуществляется финансовая поддержка субъектов малого и среднего предпринимательства, в том числе организаций, оказывающих платные услуги населению области; проводят расширенные заседания областного Совета по качеству, на которых подводятся итоги проводимых добровольных сертификаций продукции и услуг. Участие в этих мероприятиях позволят организациям обмениваться опытом, проанализировать тенденции конкурентов, рекламировать свою продукцию.</w:t>
      </w:r>
    </w:p>
    <w:p w:rsidR="007B7284" w:rsidRPr="00542B65" w:rsidRDefault="009D3B18" w:rsidP="001626E0">
      <w:pPr>
        <w:jc w:val="both"/>
        <w:rPr>
          <w:highlight w:val="yellow"/>
        </w:rPr>
      </w:pPr>
      <w:r>
        <w:t>В 2014 году ожидается рост объема платных услуг населению на 4,0% в сопоставимой оценке, в 2017 году – на 3,5-5,5%.</w:t>
      </w:r>
    </w:p>
    <w:p w:rsidR="007B7284" w:rsidRPr="0052233B" w:rsidRDefault="00BD21FC" w:rsidP="001626E0">
      <w:pPr>
        <w:jc w:val="center"/>
        <w:rPr>
          <w:b/>
        </w:rPr>
      </w:pPr>
      <w:r w:rsidRPr="0052233B">
        <w:rPr>
          <w:b/>
        </w:rPr>
        <w:t>8</w:t>
      </w:r>
      <w:r w:rsidR="007B7284" w:rsidRPr="0052233B">
        <w:rPr>
          <w:b/>
        </w:rPr>
        <w:t>. Уровень жизни населения</w:t>
      </w:r>
    </w:p>
    <w:p w:rsidR="00052485" w:rsidRPr="00542B65" w:rsidRDefault="0007420F" w:rsidP="001626E0">
      <w:pPr>
        <w:jc w:val="both"/>
        <w:rPr>
          <w:highlight w:val="yellow"/>
        </w:rPr>
      </w:pPr>
      <w:r w:rsidRPr="0007420F">
        <w:t>Объем денежных доходов населения по оценке в</w:t>
      </w:r>
      <w:r>
        <w:t xml:space="preserve"> 2014 году составит 176,4 млрд.</w:t>
      </w:r>
      <w:r w:rsidRPr="0007420F">
        <w:t>руб</w:t>
      </w:r>
      <w:r>
        <w:t>лей</w:t>
      </w:r>
      <w:r w:rsidRPr="0007420F">
        <w:t xml:space="preserve"> (110,1% к 2013 году). По прогнозу доходы населения к </w:t>
      </w:r>
      <w:r>
        <w:t>2017 году достигнут 225,1 млрд.</w:t>
      </w:r>
      <w:r w:rsidRPr="0007420F">
        <w:t>руб</w:t>
      </w:r>
      <w:r>
        <w:t>лей по 1 варианту и 232,7 млрд.</w:t>
      </w:r>
      <w:r w:rsidRPr="0007420F">
        <w:t>руб</w:t>
      </w:r>
      <w:r>
        <w:t>лей</w:t>
      </w:r>
      <w:r w:rsidRPr="0007420F">
        <w:t xml:space="preserve"> по 2 варианту со среднегодовым ростом 108,5% и 109,7% соответственно.</w:t>
      </w:r>
    </w:p>
    <w:p w:rsidR="00052485" w:rsidRPr="00542B65" w:rsidRDefault="0007420F" w:rsidP="001626E0">
      <w:pPr>
        <w:jc w:val="both"/>
        <w:rPr>
          <w:highlight w:val="yellow"/>
        </w:rPr>
      </w:pPr>
      <w:r w:rsidRPr="0007420F">
        <w:t>По-прежнему ведущую роль в формировании денежных доходов населения сохранит оплата труда наемных работников, на которую в 2014 году оцено</w:t>
      </w:r>
      <w:r>
        <w:t>чно будет направлено 66,0 млрд.</w:t>
      </w:r>
      <w:r w:rsidRPr="0007420F">
        <w:t>руб</w:t>
      </w:r>
      <w:r>
        <w:t>лей</w:t>
      </w:r>
      <w:r w:rsidRPr="0007420F">
        <w:t xml:space="preserve">, при росте 105,5% к предыдущему году. К 2017 году оплата труда </w:t>
      </w:r>
      <w:r>
        <w:t>достигнет 82,0 млрд.</w:t>
      </w:r>
      <w:r w:rsidRPr="0007420F">
        <w:t>руб</w:t>
      </w:r>
      <w:r>
        <w:t>лей по 1 варианту и 84,8 млрд.</w:t>
      </w:r>
      <w:r w:rsidRPr="0007420F">
        <w:t>руб</w:t>
      </w:r>
      <w:r>
        <w:t>лей</w:t>
      </w:r>
      <w:r w:rsidRPr="0007420F">
        <w:t xml:space="preserve"> по 2 варианту, при этом доля оплаты труда в доходах населения составит по прогнозу </w:t>
      </w:r>
      <w:r w:rsidR="009D3B18">
        <w:t>36,4</w:t>
      </w:r>
      <w:r w:rsidRPr="0007420F">
        <w:t>%.</w:t>
      </w:r>
    </w:p>
    <w:p w:rsidR="00052485" w:rsidRPr="0007420F" w:rsidRDefault="00052485" w:rsidP="001626E0">
      <w:pPr>
        <w:jc w:val="both"/>
      </w:pPr>
      <w:r w:rsidRPr="0007420F">
        <w:t>Социальные выплаты (пенсии, пособия, социальная помощь) будут увеличиваться, прежде всего, за счет роста пенсий и расширения объема мер социальной поддержки населения области.</w:t>
      </w:r>
    </w:p>
    <w:p w:rsidR="0052233B" w:rsidRDefault="0052233B" w:rsidP="0052233B">
      <w:pPr>
        <w:jc w:val="both"/>
      </w:pPr>
      <w:r>
        <w:t>В 2014 году социальные выплаты ожидаются в сумме 41,6 млрд.рублей (104,7% к 2013 году), и достигнут в 2017 году – по 1 варианту 47,8 млрд.рублей (124,3% к 2013 году), по 2 варианту 48,3 млрд.рублей (125,5% к 2013 году).</w:t>
      </w:r>
    </w:p>
    <w:p w:rsidR="0052233B" w:rsidRDefault="0052233B" w:rsidP="0052233B">
      <w:pPr>
        <w:jc w:val="both"/>
      </w:pPr>
      <w:r>
        <w:t>Доходы от предпринимательской деятельности оцениваются в объеме 15,2 млрд.рублей в 2014 году (109,1% к 2013 году) и прогнозируются к 2017 году по 1 варианту в объеме 19,3 млрд.рублей (139% к 2013 году), по 2 варианту – 20 млрд.рублей (143,7% к 2013 году).</w:t>
      </w:r>
    </w:p>
    <w:p w:rsidR="0052233B" w:rsidRDefault="00DB6D88" w:rsidP="0052233B">
      <w:pPr>
        <w:jc w:val="both"/>
      </w:pPr>
      <w:r>
        <w:t xml:space="preserve">В доходах населения 3,6% </w:t>
      </w:r>
      <w:r w:rsidR="0052233B">
        <w:t>будут занимать доходы от собственности.</w:t>
      </w:r>
    </w:p>
    <w:p w:rsidR="0052233B" w:rsidRDefault="0052233B" w:rsidP="0052233B">
      <w:pPr>
        <w:jc w:val="both"/>
      </w:pPr>
      <w:r w:rsidRPr="003D184E">
        <w:t xml:space="preserve">Второе место в доходах населения занимают прочие доходы с долей порядка </w:t>
      </w:r>
      <w:r w:rsidR="003D184E" w:rsidRPr="003D184E">
        <w:t>30</w:t>
      </w:r>
      <w:r w:rsidRPr="003D184E">
        <w:t>%.</w:t>
      </w:r>
    </w:p>
    <w:p w:rsidR="0052233B" w:rsidRDefault="0052233B" w:rsidP="0052233B">
      <w:pPr>
        <w:jc w:val="both"/>
      </w:pPr>
      <w:r>
        <w:t>Номинальные среднедушевые денежные доходы населения в 2014 году ожидаются в размере 23734 рубля с ростом 111,0% к 2013 году и прогнозируются к 2017 году по 1 варианту в размере 31101 рубль или 145,4% к 2013 году), по 2 варианту – 32156 рублей (150,3% к 2013 году).</w:t>
      </w:r>
    </w:p>
    <w:p w:rsidR="0052233B" w:rsidRDefault="0052233B" w:rsidP="0052233B">
      <w:pPr>
        <w:jc w:val="both"/>
      </w:pPr>
      <w:r>
        <w:lastRenderedPageBreak/>
        <w:t>Рост реальных денежных доходов населения ускорится, начиная с 2015 года, на фоне снижения уровня инфляции. В 2014 году реальные денежные доходы населения оцениваются на уровне 102,1%, прогнозируются в 2015-2017 годах по 1 варианту на уровне 102,6-104,2%, по 2 варианту на уровне 104,1-105,7%.</w:t>
      </w:r>
    </w:p>
    <w:p w:rsidR="0052233B" w:rsidRDefault="0052233B" w:rsidP="0052233B">
      <w:pPr>
        <w:jc w:val="both"/>
      </w:pPr>
      <w:r>
        <w:t>В прогнозе предусмотрен переход на новую методику расчета прожиточного минимума с 2013 года. С учетом фактора повышения стоимости потребительской корзины доля бедного населения в 2014 году составит 12,7%. Рост доходов населения, в первую очередь, на основе развития занятости населения и повышения заработной платы, а также мер по повышению уровня материального обеспечения пенсионеров и усилению мер социальной поддержки семей с детьми будет способствовать сокращению бедного населения. Доля населения, имеющего денежные доходы ниже региональной величины прожиточного минимума, в общей численности населения области сократится в 2017 году предположительно до уровня 11,9% по 1 варианту, до 11,7% по 2 варианту.</w:t>
      </w:r>
    </w:p>
    <w:p w:rsidR="0052233B" w:rsidRDefault="0052233B" w:rsidP="0052233B">
      <w:pPr>
        <w:jc w:val="both"/>
      </w:pPr>
      <w:r>
        <w:t>Расходы населения в 2014 году оцениваются в сумме 175,9 млрд.рублей с ростом 110,3% к 2013 году. Прирост общего показателя денежных расходов населения за период с 2013 года по 2017 год составит: по 1 варианту 40,9% (до 224,7 млрд.рублей.), по 2 варианту – 45,7% (до 232,3 млрд.рублей).</w:t>
      </w:r>
    </w:p>
    <w:p w:rsidR="0052233B" w:rsidRDefault="0052233B" w:rsidP="0052233B">
      <w:pPr>
        <w:jc w:val="both"/>
      </w:pPr>
      <w:r>
        <w:t>В 2014 году доля средств, затрачиваемых населением на покупку товаров и оплату услуг в общем объеме расходов предположительно составит 74% (129,3 млрд.рублей) и прогнозируется в таком же размере к 2017 году (167,2 млрд.рублей по 1 варианту, 172,9 млрд.рублей по 2 варианту).</w:t>
      </w:r>
    </w:p>
    <w:p w:rsidR="0052233B" w:rsidRDefault="0052233B" w:rsidP="0052233B">
      <w:pPr>
        <w:jc w:val="both"/>
      </w:pPr>
      <w:r>
        <w:t>Доля обязательных платежей и разнообразных взносов в расходах населения в 2014 году оценивается на уровне 11,6% и прогнозируется к 2017 году на уровне 11,1% по 1 варианту и 10,9% по 2 варианту.</w:t>
      </w:r>
    </w:p>
    <w:p w:rsidR="007B7284" w:rsidRPr="00542B65" w:rsidRDefault="0052233B" w:rsidP="0052233B">
      <w:pPr>
        <w:jc w:val="both"/>
        <w:rPr>
          <w:highlight w:val="yellow"/>
        </w:rPr>
      </w:pPr>
      <w:r>
        <w:t>Превышение доходов населения над расходами в 2014 году оценочно составит 500 млн.рублей (0,3% доходов населения) и прогнозируется в 2015 – 2017 годах в размере 450</w:t>
      </w:r>
      <w:r w:rsidR="00DB6D88">
        <w:t>-</w:t>
      </w:r>
      <w:r>
        <w:t>350 млн.рублей по 1 и 2 вариантам.</w:t>
      </w:r>
    </w:p>
    <w:p w:rsidR="000F7E9A" w:rsidRPr="00C07D5B" w:rsidRDefault="00BD21FC" w:rsidP="001626E0">
      <w:pPr>
        <w:jc w:val="center"/>
        <w:rPr>
          <w:b/>
        </w:rPr>
      </w:pPr>
      <w:r w:rsidRPr="00C07D5B">
        <w:rPr>
          <w:b/>
        </w:rPr>
        <w:t>9</w:t>
      </w:r>
      <w:r w:rsidR="000F7E9A" w:rsidRPr="00C07D5B">
        <w:rPr>
          <w:b/>
        </w:rPr>
        <w:t>. Труд и занятость</w:t>
      </w:r>
    </w:p>
    <w:p w:rsidR="00C07D5B" w:rsidRDefault="00C07D5B" w:rsidP="00C07D5B">
      <w:pPr>
        <w:jc w:val="both"/>
      </w:pPr>
      <w:r>
        <w:t>Формирование трудовых ресурсов на среднесрочную перспективу до 2017 года будет складываться под влиянием демографических ограничений.</w:t>
      </w:r>
    </w:p>
    <w:p w:rsidR="00C07D5B" w:rsidRDefault="00C07D5B" w:rsidP="00C07D5B">
      <w:pPr>
        <w:jc w:val="both"/>
      </w:pPr>
      <w:r>
        <w:t xml:space="preserve">Прогнозируется сокращение численности населения в трудоспособном возрасте, и, как следствие уменьшение численности занятого населения. Численность экономически активного населения в период с 2012 до 2017 годов может сократиться на 4,9 тыс.человек и составить к 2017 году 328,0 тыс.человек (при неблагоприятном развитии ситуации на рынке труда). По </w:t>
      </w:r>
      <w:r>
        <w:lastRenderedPageBreak/>
        <w:t>оценочным данным среднегодовая численность занятых в экономике в 2017 году уменьшится на 1,5% по отношению к базовому 2012 году.</w:t>
      </w:r>
    </w:p>
    <w:p w:rsidR="00C07D5B" w:rsidRDefault="00C07D5B" w:rsidP="00C07D5B">
      <w:pPr>
        <w:jc w:val="both"/>
      </w:pPr>
      <w:r>
        <w:t>Частичное восполнение трудовых ресурсов будет происходить за счет роста численности работающих граждан пенсионного возраста – с 4,7% от общей численности занятых в экономике области в 2012 году до 6,0% в 2017 году среди мужчин и с 13,0% до 16,5% среди женщин.</w:t>
      </w:r>
    </w:p>
    <w:p w:rsidR="00C07D5B" w:rsidRDefault="00C07D5B" w:rsidP="00C07D5B">
      <w:pPr>
        <w:jc w:val="both"/>
      </w:pPr>
      <w:r>
        <w:t>Повышение спроса на рабочую силу предприятий и организаций будет способствовать снижению уровня безработицы. Общая численность безработных снизится с 13,8 тыс.человек в 2012 году до 13,3 тыс.человек в 2017 году. Прогнозируется, что уровень общей безработицы (по методологии МОТ) к 2017 году не увеличится и составит 4,1% экономически активного населения (по итогам 2012 года область в сравнении с регионами России имела низкий уровень безработицы и заняла 12 место).</w:t>
      </w:r>
    </w:p>
    <w:p w:rsidR="00C07D5B" w:rsidRDefault="00C07D5B" w:rsidP="00C07D5B">
      <w:pPr>
        <w:jc w:val="both"/>
      </w:pPr>
      <w:r>
        <w:t>Численность занятых в экономике области будет иметь тенденцию к уменьшению. За период 2012-2017 годов согласно прогнозным оценкам численность занятых в экономике области сократиться на 3,8 тыс.человек (при благоприятном прогнозе).</w:t>
      </w:r>
    </w:p>
    <w:p w:rsidR="00C07D5B" w:rsidRDefault="00C07D5B" w:rsidP="00C07D5B">
      <w:pPr>
        <w:jc w:val="both"/>
      </w:pPr>
      <w:r>
        <w:t>По-прежнему, наибольшую численность занятых в экономике области будут составлять работники, занятые в частном секторе. Преобладающее число занятых в частном секторе экономики будет осуществлять свою деятельность в оптовой и розничной торговле, ремонте автотранспортных средств, мотоциклов, бытовых изделий и предметов личного пользования (94,7%).</w:t>
      </w:r>
    </w:p>
    <w:p w:rsidR="00C07D5B" w:rsidRDefault="00C07D5B" w:rsidP="00C07D5B">
      <w:pPr>
        <w:jc w:val="both"/>
      </w:pPr>
      <w:r>
        <w:t>Сохранится стабильная тенденция роста доли работников с высшим образованием, занятых в экономике. Их доля к 2017 году увеличится на 1,2 процентных пункта.</w:t>
      </w:r>
    </w:p>
    <w:p w:rsidR="00C07D5B" w:rsidRDefault="00C07D5B" w:rsidP="00C07D5B">
      <w:pPr>
        <w:jc w:val="both"/>
      </w:pPr>
      <w:r>
        <w:t>Планируется снижение численности безработных, зарегистрированных в государственных учреждениях службы занятости населения с 3,4 тыс.человек до 3,2 тыс.человек. В тоже время снижение уровня регистрируемой безработицы не будет носить ярко выраженного характера в связи с прогнозируемым уменьшением численности экономически активного населения.</w:t>
      </w:r>
    </w:p>
    <w:p w:rsidR="00C07D5B" w:rsidRDefault="00C07D5B" w:rsidP="00C07D5B">
      <w:pPr>
        <w:jc w:val="both"/>
      </w:pPr>
      <w:r>
        <w:t xml:space="preserve">Уровень напряженности на рынке труда в период 2013-2017 годов сохраниться на уровне 0,6-0,5 человек в расчете на одну вакансию, что соответствует оценочному показателю разрыва между качественными показателями спроса и предложения. </w:t>
      </w:r>
    </w:p>
    <w:p w:rsidR="000F7E9A" w:rsidRPr="00C07D5B" w:rsidRDefault="00BD21FC" w:rsidP="00C07D5B">
      <w:pPr>
        <w:ind w:firstLine="0"/>
        <w:jc w:val="center"/>
        <w:rPr>
          <w:b/>
        </w:rPr>
      </w:pPr>
      <w:r w:rsidRPr="00C07D5B">
        <w:rPr>
          <w:b/>
        </w:rPr>
        <w:t>10</w:t>
      </w:r>
      <w:r w:rsidR="000F7E9A" w:rsidRPr="00C07D5B">
        <w:rPr>
          <w:b/>
        </w:rPr>
        <w:t>. Демография</w:t>
      </w:r>
    </w:p>
    <w:p w:rsidR="00AE6A21" w:rsidRPr="00C07D5B" w:rsidRDefault="00AE6A21" w:rsidP="001626E0">
      <w:pPr>
        <w:jc w:val="both"/>
        <w:rPr>
          <w:rFonts w:eastAsia="Times New Roman"/>
          <w:lang w:eastAsia="ru-RU"/>
        </w:rPr>
      </w:pPr>
      <w:r w:rsidRPr="00C07D5B">
        <w:rPr>
          <w:rFonts w:eastAsia="Times New Roman"/>
          <w:lang w:eastAsia="ru-RU"/>
        </w:rPr>
        <w:t>В 2013 году в области сохранилась тенденция снижения смертности. Коэффициент смертности составил наименьшее значение за последние 15 лет – 17,8 умерших на 1000 человек населения.</w:t>
      </w:r>
    </w:p>
    <w:p w:rsidR="00AE6A21" w:rsidRPr="00C07D5B" w:rsidRDefault="00AE6A21" w:rsidP="001626E0">
      <w:pPr>
        <w:jc w:val="both"/>
        <w:rPr>
          <w:rFonts w:eastAsia="Times New Roman"/>
          <w:lang w:eastAsia="ru-RU"/>
        </w:rPr>
      </w:pPr>
      <w:r w:rsidRPr="00C07D5B">
        <w:rPr>
          <w:rFonts w:eastAsia="Times New Roman"/>
          <w:lang w:eastAsia="ru-RU"/>
        </w:rPr>
        <w:lastRenderedPageBreak/>
        <w:t>Рождаемость с 2013 года (11,8 родившихся на 1000 человек населения) снижается, что обусловлено сокращением численности женщин репродуктивного возраста на 3 тысячи в среднем за год, начиная с 1999 года. Вместе с тем, благодаря федеральным и региональным мерам поддержки материнства и детства, увеличивается доля вторых и последующих детей в общем числе родившихся: в 2013 году – 56,8% (лучший показатель за последние 24 года), январе-</w:t>
      </w:r>
      <w:r w:rsidR="003D184E">
        <w:rPr>
          <w:rFonts w:eastAsia="Times New Roman"/>
          <w:lang w:eastAsia="ru-RU"/>
        </w:rPr>
        <w:t>сентябр</w:t>
      </w:r>
      <w:r w:rsidRPr="00C07D5B">
        <w:rPr>
          <w:rFonts w:eastAsia="Times New Roman"/>
          <w:lang w:eastAsia="ru-RU"/>
        </w:rPr>
        <w:t>е 2014 года – 5</w:t>
      </w:r>
      <w:r w:rsidR="003D184E">
        <w:rPr>
          <w:rFonts w:eastAsia="Times New Roman"/>
          <w:lang w:eastAsia="ru-RU"/>
        </w:rPr>
        <w:t>8</w:t>
      </w:r>
      <w:r w:rsidRPr="00C07D5B">
        <w:rPr>
          <w:rFonts w:eastAsia="Times New Roman"/>
          <w:lang w:eastAsia="ru-RU"/>
        </w:rPr>
        <w:t>,</w:t>
      </w:r>
      <w:r w:rsidR="003D184E">
        <w:rPr>
          <w:rFonts w:eastAsia="Times New Roman"/>
          <w:lang w:eastAsia="ru-RU"/>
        </w:rPr>
        <w:t>4</w:t>
      </w:r>
      <w:r w:rsidRPr="00C07D5B">
        <w:rPr>
          <w:rFonts w:eastAsia="Times New Roman"/>
          <w:lang w:eastAsia="ru-RU"/>
        </w:rPr>
        <w:t>%.</w:t>
      </w:r>
    </w:p>
    <w:p w:rsidR="00AE6A21" w:rsidRPr="00C07D5B" w:rsidRDefault="00AE6A21" w:rsidP="001626E0">
      <w:pPr>
        <w:jc w:val="both"/>
        <w:rPr>
          <w:rFonts w:eastAsia="Times New Roman"/>
          <w:lang w:eastAsia="ru-RU"/>
        </w:rPr>
      </w:pPr>
      <w:r w:rsidRPr="00C07D5B">
        <w:rPr>
          <w:rFonts w:eastAsia="Times New Roman"/>
          <w:lang w:eastAsia="ru-RU"/>
        </w:rPr>
        <w:t>Миграционная убыль, наблюдавшаяся в 2012 году, сменилась на миграционный прирост общей численностью 314 человек, компенсировав естественную убыль населения на 8,4%. Численность населения области за 2013 год уменьшилась на 3,4 тыс. человек и на 1 января 2014 года составила 622,4 тыс. человек.</w:t>
      </w:r>
    </w:p>
    <w:p w:rsidR="00AE6A21" w:rsidRPr="00C07D5B" w:rsidRDefault="00AE6A21" w:rsidP="001626E0">
      <w:pPr>
        <w:jc w:val="both"/>
        <w:rPr>
          <w:rFonts w:eastAsia="Times New Roman"/>
          <w:lang w:eastAsia="ru-RU"/>
        </w:rPr>
      </w:pPr>
      <w:r w:rsidRPr="00C07D5B">
        <w:rPr>
          <w:rFonts w:eastAsia="Times New Roman"/>
          <w:lang w:eastAsia="ru-RU"/>
        </w:rPr>
        <w:t>В прогнозируемом периоде, по расчету перспективной численности населения, осуществленному Росстатом по среднему варианту прогноза от базы на начало 2013 года, сохранится тенденция сокращения численности жителей области на 4,4 тыс. человек или на 0,7% ежегодно. К концу прогнозного периода численность населения области составит 604,7 тыс. человек.</w:t>
      </w:r>
    </w:p>
    <w:p w:rsidR="00AE6A21" w:rsidRPr="00C07D5B" w:rsidRDefault="00AE6A21" w:rsidP="001626E0">
      <w:pPr>
        <w:jc w:val="both"/>
        <w:rPr>
          <w:rFonts w:eastAsia="Times New Roman"/>
          <w:lang w:eastAsia="ru-RU"/>
        </w:rPr>
      </w:pPr>
      <w:r w:rsidRPr="00C07D5B">
        <w:rPr>
          <w:rFonts w:eastAsia="Times New Roman"/>
          <w:lang w:eastAsia="ru-RU"/>
        </w:rPr>
        <w:t>Численность населения трудоспособного возраста в 2015-2017 годах сократится на 22,9 тыс. человек, в возрастных группах моложе и старше трудоспособного возраста увеличится на 3,5 тыс. человек и 6,3 тыс. человек соответственно.</w:t>
      </w:r>
    </w:p>
    <w:p w:rsidR="00AE6A21" w:rsidRPr="00C07D5B" w:rsidRDefault="00AE6A21" w:rsidP="001626E0">
      <w:pPr>
        <w:jc w:val="both"/>
        <w:rPr>
          <w:rFonts w:eastAsia="Times New Roman"/>
          <w:lang w:eastAsia="ru-RU"/>
        </w:rPr>
      </w:pPr>
      <w:r w:rsidRPr="00C07D5B">
        <w:rPr>
          <w:rFonts w:eastAsia="Times New Roman"/>
          <w:lang w:eastAsia="ru-RU"/>
        </w:rPr>
        <w:t xml:space="preserve">Прогнозируется снижение рождаемости в 2017 году до 10,4 родившихся на 1000 человек населения, сокращение смертности – до 17,6 умерших на 1000 человек населения, рост естественной убыли населения – до 7,2 на 1000 человек населения. За счет миграционной убыли население области в 2015-2017 годах сократится на 95 человек. </w:t>
      </w:r>
    </w:p>
    <w:p w:rsidR="000F7E9A" w:rsidRPr="00C07D5B" w:rsidRDefault="00AE6A21" w:rsidP="001626E0">
      <w:pPr>
        <w:jc w:val="both"/>
      </w:pPr>
      <w:r w:rsidRPr="00C07D5B">
        <w:rPr>
          <w:rFonts w:eastAsia="Times New Roman"/>
          <w:lang w:eastAsia="ru-RU"/>
        </w:rPr>
        <w:t>Ожидаемая продолжительность жизни при рождении составит в 2017 году 69,7 лет. Гендерный разрыв сократится до 12,1 года. Ожидаемая продолжительность жизни мужчин с 2014 года будет выше пенсионного возраста.</w:t>
      </w:r>
    </w:p>
    <w:p w:rsidR="000F7E9A" w:rsidRPr="00D208FF" w:rsidRDefault="00BD21FC" w:rsidP="001626E0">
      <w:pPr>
        <w:jc w:val="center"/>
        <w:rPr>
          <w:b/>
        </w:rPr>
      </w:pPr>
      <w:r w:rsidRPr="00D208FF">
        <w:rPr>
          <w:b/>
        </w:rPr>
        <w:t>11</w:t>
      </w:r>
      <w:r w:rsidR="000F7E9A" w:rsidRPr="00D208FF">
        <w:rPr>
          <w:b/>
        </w:rPr>
        <w:t>. Консолидированный бюджет Новгородской области</w:t>
      </w:r>
    </w:p>
    <w:p w:rsidR="00D208FF" w:rsidRDefault="00D208FF" w:rsidP="001626E0">
      <w:pPr>
        <w:jc w:val="both"/>
      </w:pPr>
      <w:r w:rsidRPr="00D208FF">
        <w:t>В основу прогноза объемов доходов консолидированного бюджета заложены основные показатели развития экономики области на 2014 – 2017 годы и фактического поступления налоговых</w:t>
      </w:r>
      <w:r w:rsidR="00740495">
        <w:t xml:space="preserve"> </w:t>
      </w:r>
      <w:r w:rsidRPr="00D208FF">
        <w:t>и нен</w:t>
      </w:r>
      <w:r>
        <w:t>алоговых поступлений</w:t>
      </w:r>
      <w:r w:rsidR="00740495">
        <w:t xml:space="preserve"> </w:t>
      </w:r>
      <w:r>
        <w:t>за 2012-</w:t>
      </w:r>
      <w:r w:rsidRPr="00D208FF">
        <w:t>2013 годы.</w:t>
      </w:r>
    </w:p>
    <w:p w:rsidR="000F7E9A" w:rsidRPr="00542B65" w:rsidRDefault="00D208FF" w:rsidP="001626E0">
      <w:pPr>
        <w:jc w:val="both"/>
        <w:rPr>
          <w:highlight w:val="yellow"/>
        </w:rPr>
      </w:pPr>
      <w:r w:rsidRPr="00D208FF">
        <w:t xml:space="preserve">Ожидаемое поступление доходов в 2014 году рассчитано, исходя из действующих условий налогового законодательства и нормативов отчислений, установленных с 1 января 2014 года Бюджетным кодексом </w:t>
      </w:r>
      <w:r w:rsidRPr="00D208FF">
        <w:lastRenderedPageBreak/>
        <w:t>Российской Федерации</w:t>
      </w:r>
      <w:r w:rsidR="00740495">
        <w:t xml:space="preserve"> </w:t>
      </w:r>
      <w:r w:rsidRPr="00D208FF">
        <w:t>и областным законом «Об областном бюджете на 2014 год и на плановый период 2015 и 2016 годов.</w:t>
      </w:r>
    </w:p>
    <w:p w:rsidR="000F7E9A" w:rsidRPr="00D208FF" w:rsidRDefault="000F7E9A" w:rsidP="001626E0">
      <w:pPr>
        <w:jc w:val="both"/>
      </w:pPr>
      <w:r w:rsidRPr="00D208FF">
        <w:t>По результатам работы за 2013 год в консолидированный бюджет области поступило 27</w:t>
      </w:r>
      <w:r w:rsidR="00AC5EA1" w:rsidRPr="00D208FF">
        <w:t>,</w:t>
      </w:r>
      <w:r w:rsidRPr="00D208FF">
        <w:t xml:space="preserve">9 </w:t>
      </w:r>
      <w:r w:rsidR="00740495">
        <w:t>млрд.</w:t>
      </w:r>
      <w:r w:rsidR="00404154" w:rsidRPr="00D208FF">
        <w:t>рублей доходов, что на 19,2 </w:t>
      </w:r>
      <w:r w:rsidRPr="00D208FF">
        <w:t>% ниже уровня 2012 года. Ожидаемое поступление доходов в консолидированный бюджет в 2014 году составит 2</w:t>
      </w:r>
      <w:r w:rsidR="00D208FF" w:rsidRPr="00D208FF">
        <w:t>8</w:t>
      </w:r>
      <w:r w:rsidR="00AC5EA1" w:rsidRPr="00D208FF">
        <w:t>,</w:t>
      </w:r>
      <w:r w:rsidRPr="00D208FF">
        <w:t xml:space="preserve">2 </w:t>
      </w:r>
      <w:r w:rsidR="00740495">
        <w:t>млрд.</w:t>
      </w:r>
      <w:r w:rsidRPr="00D208FF">
        <w:t>рублей. Прогнозируемые доходы на 2015</w:t>
      </w:r>
      <w:r w:rsidR="00404154" w:rsidRPr="00D208FF">
        <w:t>-2017</w:t>
      </w:r>
      <w:r w:rsidRPr="00D208FF">
        <w:t xml:space="preserve"> год</w:t>
      </w:r>
      <w:r w:rsidR="00404154" w:rsidRPr="00D208FF">
        <w:t>ы по умеренно-оптимистичному сценарию</w:t>
      </w:r>
      <w:r w:rsidRPr="00D208FF">
        <w:t xml:space="preserve"> составят </w:t>
      </w:r>
      <w:r w:rsidR="00CB2048" w:rsidRPr="00D208FF">
        <w:t>29</w:t>
      </w:r>
      <w:r w:rsidR="00AC5EA1" w:rsidRPr="00D208FF">
        <w:t>,</w:t>
      </w:r>
      <w:r w:rsidR="00D208FF" w:rsidRPr="00D208FF">
        <w:t>2</w:t>
      </w:r>
      <w:r w:rsidR="00CB2048" w:rsidRPr="00D208FF">
        <w:t>-</w:t>
      </w:r>
      <w:r w:rsidRPr="00D208FF">
        <w:t>33</w:t>
      </w:r>
      <w:r w:rsidR="00AC5EA1" w:rsidRPr="00D208FF">
        <w:t>,</w:t>
      </w:r>
      <w:r w:rsidR="00D208FF" w:rsidRPr="00D208FF">
        <w:t>1</w:t>
      </w:r>
      <w:r w:rsidRPr="00D208FF">
        <w:t xml:space="preserve"> </w:t>
      </w:r>
      <w:r w:rsidR="00740495">
        <w:t>млрд.</w:t>
      </w:r>
      <w:r w:rsidRPr="00D208FF">
        <w:t>рублей</w:t>
      </w:r>
      <w:r w:rsidR="00404154" w:rsidRPr="00D208FF">
        <w:t xml:space="preserve"> соответственно</w:t>
      </w:r>
      <w:r w:rsidRPr="00D208FF">
        <w:t>.</w:t>
      </w:r>
    </w:p>
    <w:p w:rsidR="000F7E9A" w:rsidRPr="00D208FF" w:rsidRDefault="000F7E9A" w:rsidP="001626E0">
      <w:pPr>
        <w:jc w:val="both"/>
      </w:pPr>
      <w:r w:rsidRPr="00D208FF">
        <w:t xml:space="preserve">Налоговые и неналоговые </w:t>
      </w:r>
      <w:r w:rsidR="00404154" w:rsidRPr="00D208FF">
        <w:t>доходы за 2013 год составили 21</w:t>
      </w:r>
      <w:r w:rsidR="00AC5EA1" w:rsidRPr="00D208FF">
        <w:t>,</w:t>
      </w:r>
      <w:r w:rsidRPr="00D208FF">
        <w:t xml:space="preserve">8 </w:t>
      </w:r>
      <w:r w:rsidR="00740495">
        <w:t>млрд.</w:t>
      </w:r>
      <w:r w:rsidRPr="00D208FF">
        <w:t>рублей, что на 3,2% ниже уровня 2012 года. Ожидаемое поступление налоговых и неналоговых доходов в 2014 году составит 2</w:t>
      </w:r>
      <w:r w:rsidR="00D208FF" w:rsidRPr="00D208FF">
        <w:t>3</w:t>
      </w:r>
      <w:r w:rsidR="00AC5EA1" w:rsidRPr="00D208FF">
        <w:t>,</w:t>
      </w:r>
      <w:r w:rsidR="00D208FF" w:rsidRPr="00D208FF">
        <w:t>2</w:t>
      </w:r>
      <w:r w:rsidR="00AC5EA1" w:rsidRPr="00D208FF">
        <w:t xml:space="preserve"> </w:t>
      </w:r>
      <w:r w:rsidR="00740495">
        <w:t>млрд.</w:t>
      </w:r>
      <w:r w:rsidRPr="00D208FF">
        <w:t>рублей</w:t>
      </w:r>
      <w:r w:rsidR="00404154" w:rsidRPr="00D208FF">
        <w:t>, или 1</w:t>
      </w:r>
      <w:r w:rsidR="00D208FF" w:rsidRPr="00D208FF">
        <w:t>06</w:t>
      </w:r>
      <w:r w:rsidR="00404154" w:rsidRPr="00D208FF">
        <w:t>,</w:t>
      </w:r>
      <w:r w:rsidR="00D208FF" w:rsidRPr="00D208FF">
        <w:t>1</w:t>
      </w:r>
      <w:r w:rsidR="00404154" w:rsidRPr="00D208FF">
        <w:t>% к уровню 2013 года,</w:t>
      </w:r>
      <w:r w:rsidRPr="00D208FF">
        <w:t xml:space="preserve"> на 2015-2017 годы </w:t>
      </w:r>
      <w:r w:rsidR="00404154" w:rsidRPr="00D208FF">
        <w:t xml:space="preserve">прогнозируется </w:t>
      </w:r>
      <w:r w:rsidR="00CB2048" w:rsidRPr="00D208FF">
        <w:t>2</w:t>
      </w:r>
      <w:r w:rsidR="00D208FF" w:rsidRPr="00D208FF">
        <w:t>5</w:t>
      </w:r>
      <w:r w:rsidR="00AC5EA1" w:rsidRPr="00D208FF">
        <w:t>,</w:t>
      </w:r>
      <w:r w:rsidR="00D208FF" w:rsidRPr="00D208FF">
        <w:t>2</w:t>
      </w:r>
      <w:r w:rsidR="00CB2048" w:rsidRPr="00D208FF">
        <w:t>-</w:t>
      </w:r>
      <w:r w:rsidR="00D208FF" w:rsidRPr="00D208FF">
        <w:t>29</w:t>
      </w:r>
      <w:r w:rsidR="00AC5EA1" w:rsidRPr="00D208FF">
        <w:t>,</w:t>
      </w:r>
      <w:r w:rsidR="00D208FF" w:rsidRPr="00D208FF">
        <w:t>8</w:t>
      </w:r>
      <w:r w:rsidRPr="00D208FF">
        <w:t xml:space="preserve"> </w:t>
      </w:r>
      <w:r w:rsidR="00740495">
        <w:t>млрд.</w:t>
      </w:r>
      <w:r w:rsidRPr="00D208FF">
        <w:t>рублей соответственно.</w:t>
      </w:r>
    </w:p>
    <w:p w:rsidR="000F7E9A" w:rsidRPr="00D208FF" w:rsidRDefault="000F7E9A" w:rsidP="001626E0">
      <w:pPr>
        <w:jc w:val="both"/>
      </w:pPr>
      <w:r w:rsidRPr="00D208FF">
        <w:t>Основной удельный вес в объеме налоговых и неналоговых доходов занимают налоговые платежи, так в 2012 году их объем составил – 93,2%, в 2013 году –</w:t>
      </w:r>
      <w:r w:rsidR="00404154" w:rsidRPr="00D208FF">
        <w:t xml:space="preserve"> </w:t>
      </w:r>
      <w:r w:rsidRPr="00D208FF">
        <w:t>93,0%, ожидаемый объем 2014 года – 9</w:t>
      </w:r>
      <w:r w:rsidR="00D208FF" w:rsidRPr="00D208FF">
        <w:t>2</w:t>
      </w:r>
      <w:r w:rsidRPr="00D208FF">
        <w:t>,</w:t>
      </w:r>
      <w:r w:rsidR="00D208FF" w:rsidRPr="00D208FF">
        <w:t>9</w:t>
      </w:r>
      <w:r w:rsidRPr="00D208FF">
        <w:t>%; прогнозируе</w:t>
      </w:r>
      <w:r w:rsidR="00CB2048" w:rsidRPr="00D208FF">
        <w:t>мый объем на 2015-2017 годы по 1</w:t>
      </w:r>
      <w:r w:rsidRPr="00D208FF">
        <w:t xml:space="preserve"> варианту – </w:t>
      </w:r>
      <w:r w:rsidR="00D208FF" w:rsidRPr="00D208FF">
        <w:t>93,0-94,6</w:t>
      </w:r>
      <w:r w:rsidRPr="00D208FF">
        <w:t xml:space="preserve">%, по </w:t>
      </w:r>
      <w:r w:rsidR="00CB2048" w:rsidRPr="00D208FF">
        <w:t>2</w:t>
      </w:r>
      <w:r w:rsidRPr="00D208FF">
        <w:t xml:space="preserve"> варианту – </w:t>
      </w:r>
      <w:r w:rsidR="00D208FF" w:rsidRPr="00D208FF">
        <w:t>93,2-</w:t>
      </w:r>
      <w:r w:rsidRPr="00D208FF">
        <w:t>9</w:t>
      </w:r>
      <w:r w:rsidR="00D208FF" w:rsidRPr="00D208FF">
        <w:t>4</w:t>
      </w:r>
      <w:r w:rsidRPr="00D208FF">
        <w:t>,</w:t>
      </w:r>
      <w:r w:rsidR="00D208FF" w:rsidRPr="00D208FF">
        <w:t>7</w:t>
      </w:r>
      <w:r w:rsidRPr="00D208FF">
        <w:t>% ежегодно.</w:t>
      </w:r>
    </w:p>
    <w:p w:rsidR="000F7E9A" w:rsidRPr="00D208FF" w:rsidRDefault="000F7E9A" w:rsidP="001626E0">
      <w:pPr>
        <w:jc w:val="both"/>
      </w:pPr>
      <w:r w:rsidRPr="00D208FF">
        <w:t>Основными источниками поступлений налоговых платежей являются: налог на прибыль организаций, налог на доходы физических лиц, акцизы, налог на имущество.</w:t>
      </w:r>
    </w:p>
    <w:p w:rsidR="000F7E9A" w:rsidRPr="00D208FF" w:rsidRDefault="000F7E9A" w:rsidP="001626E0">
      <w:pPr>
        <w:jc w:val="both"/>
      </w:pPr>
      <w:r w:rsidRPr="00D208FF">
        <w:t>Объемы поступления всех налоговых доходов в 2013 году, за исключением налога на прибыль организаций, превышали показатели 2012 года.</w:t>
      </w:r>
    </w:p>
    <w:p w:rsidR="000F7E9A" w:rsidRPr="00D208FF" w:rsidRDefault="000F7E9A" w:rsidP="001626E0">
      <w:pPr>
        <w:jc w:val="both"/>
      </w:pPr>
      <w:r w:rsidRPr="00D208FF">
        <w:t>Ожидаемое поступление налоговых доходов в 2014 году составит 2</w:t>
      </w:r>
      <w:r w:rsidR="00D208FF" w:rsidRPr="00D208FF">
        <w:t>1</w:t>
      </w:r>
      <w:r w:rsidR="006F3BB4" w:rsidRPr="00D208FF">
        <w:t>,</w:t>
      </w:r>
      <w:r w:rsidR="00D208FF" w:rsidRPr="00D208FF">
        <w:t>5</w:t>
      </w:r>
      <w:r w:rsidRPr="00D208FF">
        <w:t xml:space="preserve"> </w:t>
      </w:r>
      <w:r w:rsidR="00740495">
        <w:t>млрд.</w:t>
      </w:r>
      <w:r w:rsidRPr="00D208FF">
        <w:t xml:space="preserve">рублей. По итогам </w:t>
      </w:r>
      <w:r w:rsidR="00D208FF" w:rsidRPr="00D208FF">
        <w:t>9 месяцев</w:t>
      </w:r>
      <w:r w:rsidRPr="00D208FF">
        <w:t xml:space="preserve"> 2014 года наблюдается положительная динамика по всем основным поступлениям налоговых доходов, за исключением единого налога на вменённый доход. Основной причиной является сокращение числа налогоплательщиков в связи с переходом на другие системы налогообложения.</w:t>
      </w:r>
    </w:p>
    <w:p w:rsidR="000F7E9A" w:rsidRPr="00D208FF" w:rsidRDefault="000F7E9A" w:rsidP="001626E0">
      <w:pPr>
        <w:jc w:val="both"/>
      </w:pPr>
      <w:r w:rsidRPr="00D208FF">
        <w:t>Прогноз поступлений налоговых доходов на 2015-2017 годы рассчитан отдельно по каж</w:t>
      </w:r>
      <w:r w:rsidR="00AB3119" w:rsidRPr="00D208FF">
        <w:t>дому виду налогов. Так, на 2015-2017 годы</w:t>
      </w:r>
      <w:r w:rsidRPr="00D208FF">
        <w:t xml:space="preserve"> налоговые доходы в консолидируемый бюджет прогнозируются в сумме 2</w:t>
      </w:r>
      <w:r w:rsidR="00D208FF" w:rsidRPr="00D208FF">
        <w:t>2</w:t>
      </w:r>
      <w:r w:rsidR="006F3BB4" w:rsidRPr="00D208FF">
        <w:t>,</w:t>
      </w:r>
      <w:r w:rsidR="00D208FF" w:rsidRPr="00D208FF">
        <w:t>8</w:t>
      </w:r>
      <w:r w:rsidRPr="00D208FF">
        <w:t xml:space="preserve"> </w:t>
      </w:r>
      <w:r w:rsidR="00740495">
        <w:t>млрд.</w:t>
      </w:r>
      <w:r w:rsidRPr="00D208FF">
        <w:t>рублей – 1 вариант, 2</w:t>
      </w:r>
      <w:r w:rsidR="00D208FF" w:rsidRPr="00D208FF">
        <w:t>3</w:t>
      </w:r>
      <w:r w:rsidR="006F3BB4" w:rsidRPr="00D208FF">
        <w:t>,</w:t>
      </w:r>
      <w:r w:rsidR="00D208FF" w:rsidRPr="00D208FF">
        <w:t>5</w:t>
      </w:r>
      <w:r w:rsidRPr="00D208FF">
        <w:t xml:space="preserve"> </w:t>
      </w:r>
      <w:r w:rsidR="00740495">
        <w:t>млрд.</w:t>
      </w:r>
      <w:r w:rsidRPr="00D208FF">
        <w:t>ру</w:t>
      </w:r>
      <w:r w:rsidR="00AB3119" w:rsidRPr="00D208FF">
        <w:t xml:space="preserve">блей – 2 вариант (рост на </w:t>
      </w:r>
      <w:r w:rsidR="00D208FF" w:rsidRPr="00D208FF">
        <w:t>10</w:t>
      </w:r>
      <w:r w:rsidR="00AB3119" w:rsidRPr="00D208FF">
        <w:t>,</w:t>
      </w:r>
      <w:r w:rsidR="00D208FF" w:rsidRPr="00D208FF">
        <w:t>5</w:t>
      </w:r>
      <w:r w:rsidR="00AB3119" w:rsidRPr="00D208FF">
        <w:t xml:space="preserve">% </w:t>
      </w:r>
      <w:r w:rsidRPr="00D208FF">
        <w:t>и 1</w:t>
      </w:r>
      <w:r w:rsidR="00D208FF" w:rsidRPr="00D208FF">
        <w:t>0</w:t>
      </w:r>
      <w:r w:rsidRPr="00D208FF">
        <w:t>,</w:t>
      </w:r>
      <w:r w:rsidR="00D208FF" w:rsidRPr="00D208FF">
        <w:t>9</w:t>
      </w:r>
      <w:r w:rsidRPr="00D208FF">
        <w:t>% к 20</w:t>
      </w:r>
      <w:r w:rsidR="00AB3119" w:rsidRPr="00D208FF">
        <w:t xml:space="preserve">14 г); </w:t>
      </w:r>
      <w:r w:rsidRPr="00D208FF">
        <w:t>2</w:t>
      </w:r>
      <w:r w:rsidR="00D208FF" w:rsidRPr="00D208FF">
        <w:t>7</w:t>
      </w:r>
      <w:r w:rsidR="006F3BB4" w:rsidRPr="00D208FF">
        <w:t>,</w:t>
      </w:r>
      <w:r w:rsidR="00D208FF" w:rsidRPr="00D208FF">
        <w:t>3</w:t>
      </w:r>
      <w:r w:rsidRPr="00D208FF">
        <w:t xml:space="preserve"> </w:t>
      </w:r>
      <w:r w:rsidR="00740495">
        <w:t>млрд.</w:t>
      </w:r>
      <w:r w:rsidRPr="00D208FF">
        <w:t>рублей</w:t>
      </w:r>
      <w:r w:rsidR="00CB2048" w:rsidRPr="00D208FF">
        <w:t xml:space="preserve"> – </w:t>
      </w:r>
      <w:r w:rsidRPr="00D208FF">
        <w:t>1 вариант, 2</w:t>
      </w:r>
      <w:r w:rsidR="00D208FF" w:rsidRPr="00D208FF">
        <w:t>8</w:t>
      </w:r>
      <w:r w:rsidR="006F3BB4" w:rsidRPr="00D208FF">
        <w:t>,</w:t>
      </w:r>
      <w:r w:rsidR="00D208FF" w:rsidRPr="00D208FF">
        <w:t>2</w:t>
      </w:r>
      <w:r w:rsidRPr="00D208FF">
        <w:t xml:space="preserve"> </w:t>
      </w:r>
      <w:r w:rsidR="00740495">
        <w:t>млрд.</w:t>
      </w:r>
      <w:r w:rsidRPr="00D208FF">
        <w:t xml:space="preserve">рублей – 2 вариант (рост на </w:t>
      </w:r>
      <w:r w:rsidR="00D208FF" w:rsidRPr="00D208FF">
        <w:t>10</w:t>
      </w:r>
      <w:r w:rsidRPr="00D208FF">
        <w:t>,</w:t>
      </w:r>
      <w:r w:rsidR="00D208FF" w:rsidRPr="00D208FF">
        <w:t>6</w:t>
      </w:r>
      <w:r w:rsidRPr="00D208FF">
        <w:t xml:space="preserve"> % и </w:t>
      </w:r>
      <w:r w:rsidR="00D208FF" w:rsidRPr="00D208FF">
        <w:t>10,6</w:t>
      </w:r>
      <w:r w:rsidRPr="00D208FF">
        <w:t>% к 2016 г</w:t>
      </w:r>
      <w:r w:rsidR="00D208FF">
        <w:t>.</w:t>
      </w:r>
      <w:r w:rsidRPr="00D208FF">
        <w:t>)</w:t>
      </w:r>
      <w:r w:rsidR="00AB3119" w:rsidRPr="00D208FF">
        <w:t xml:space="preserve"> соответственно.</w:t>
      </w:r>
    </w:p>
    <w:p w:rsidR="000F7E9A" w:rsidRPr="00542B65" w:rsidRDefault="000F7E9A" w:rsidP="001626E0">
      <w:pPr>
        <w:jc w:val="both"/>
        <w:rPr>
          <w:highlight w:val="yellow"/>
        </w:rPr>
      </w:pPr>
      <w:r w:rsidRPr="00D208FF">
        <w:t>Поступление неналоговых доходов консолидированного бюджета области за анализируемый период отличается нестабильностью. Так</w:t>
      </w:r>
      <w:r w:rsidR="006F3BB4" w:rsidRPr="00D208FF">
        <w:t>,</w:t>
      </w:r>
      <w:r w:rsidRPr="00D208FF">
        <w:t xml:space="preserve"> в 2013</w:t>
      </w:r>
      <w:r w:rsidR="006F3BB4" w:rsidRPr="00D208FF">
        <w:t xml:space="preserve"> году</w:t>
      </w:r>
      <w:r w:rsidRPr="00D208FF">
        <w:t xml:space="preserve"> произошло снижение их объёмов к уровню 2012 года на 1,1%. В 2014 году ожидается рост объёмов на </w:t>
      </w:r>
      <w:r w:rsidR="00D208FF" w:rsidRPr="00D208FF">
        <w:t>7</w:t>
      </w:r>
      <w:r w:rsidRPr="00D208FF">
        <w:t xml:space="preserve">,9% к уровню 2013 года. </w:t>
      </w:r>
      <w:r w:rsidR="00D208FF" w:rsidRPr="00D208FF">
        <w:t xml:space="preserve">В 2015 году </w:t>
      </w:r>
      <w:r w:rsidR="00D208FF" w:rsidRPr="00D208FF">
        <w:lastRenderedPageBreak/>
        <w:t>прогнозируется рост неналоговых доходов на 4,2% к уровню 2014 года, в 2016 году прогнозируется снижение к уровню предыдущего года на 10,5%; в 2017 году прогнозируется рост к уровню предыдущего года на 1,8%.</w:t>
      </w:r>
    </w:p>
    <w:p w:rsidR="00D208FF" w:rsidRDefault="00D208FF" w:rsidP="001626E0">
      <w:pPr>
        <w:jc w:val="both"/>
      </w:pPr>
      <w:r w:rsidRPr="00D208FF">
        <w:t>Снижение темпов роста поступлений неналоговых доходов обусловлено ограниченным количеством объектов государственной и муниципальной собственности, возможным к его пе</w:t>
      </w:r>
      <w:r>
        <w:t>редаче в аренду или реализации.</w:t>
      </w:r>
    </w:p>
    <w:p w:rsidR="000F7E9A" w:rsidRPr="00D208FF" w:rsidRDefault="000F7E9A" w:rsidP="001626E0">
      <w:pPr>
        <w:jc w:val="both"/>
      </w:pPr>
      <w:r w:rsidRPr="00D208FF">
        <w:t>Общий объем безвозмездных поступлений за 2013 год составил 6</w:t>
      </w:r>
      <w:r w:rsidR="006F3BB4" w:rsidRPr="00D208FF">
        <w:t>,</w:t>
      </w:r>
      <w:r w:rsidRPr="00D208FF">
        <w:t xml:space="preserve">1 </w:t>
      </w:r>
      <w:r w:rsidR="00740495">
        <w:t>млрд.</w:t>
      </w:r>
      <w:r w:rsidRPr="00D208FF">
        <w:t xml:space="preserve">рублей, </w:t>
      </w:r>
      <w:r w:rsidR="00D208FF" w:rsidRPr="00D208FF">
        <w:t>в 2014 году ожидается в объеме 5</w:t>
      </w:r>
      <w:r w:rsidR="006F3BB4" w:rsidRPr="00D208FF">
        <w:t>,</w:t>
      </w:r>
      <w:r w:rsidR="00D208FF" w:rsidRPr="00D208FF">
        <w:t>0</w:t>
      </w:r>
      <w:r w:rsidR="00AB3119" w:rsidRPr="00D208FF">
        <w:t xml:space="preserve"> </w:t>
      </w:r>
      <w:r w:rsidR="00740495">
        <w:t>млрд.</w:t>
      </w:r>
      <w:r w:rsidRPr="00D208FF">
        <w:t xml:space="preserve">рублей, в 2015 году планируется получить </w:t>
      </w:r>
      <w:r w:rsidR="00D208FF" w:rsidRPr="00D208FF">
        <w:t>4</w:t>
      </w:r>
      <w:r w:rsidR="006F3BB4" w:rsidRPr="00D208FF">
        <w:t>,</w:t>
      </w:r>
      <w:r w:rsidR="00D208FF" w:rsidRPr="00D208FF">
        <w:t>0</w:t>
      </w:r>
      <w:r w:rsidRPr="00D208FF">
        <w:t xml:space="preserve"> </w:t>
      </w:r>
      <w:r w:rsidR="00740495">
        <w:t>млрд.</w:t>
      </w:r>
      <w:r w:rsidRPr="00D208FF">
        <w:t xml:space="preserve">рублей, в 2017 </w:t>
      </w:r>
      <w:r w:rsidR="00D208FF" w:rsidRPr="00D208FF">
        <w:t>году – 3</w:t>
      </w:r>
      <w:r w:rsidR="006F3BB4" w:rsidRPr="00D208FF">
        <w:t>,</w:t>
      </w:r>
      <w:r w:rsidR="00D208FF" w:rsidRPr="00D208FF">
        <w:t>3</w:t>
      </w:r>
      <w:r w:rsidRPr="00D208FF">
        <w:t xml:space="preserve"> </w:t>
      </w:r>
      <w:r w:rsidR="00740495">
        <w:t>млрд.</w:t>
      </w:r>
      <w:r w:rsidRPr="00D208FF">
        <w:t>рублей.</w:t>
      </w:r>
    </w:p>
    <w:p w:rsidR="000F7E9A" w:rsidRPr="00D208FF" w:rsidRDefault="000F7E9A" w:rsidP="001626E0">
      <w:pPr>
        <w:jc w:val="both"/>
      </w:pPr>
      <w:r w:rsidRPr="00D208FF">
        <w:t>Расходы консолидированного бюджета исполнены за 2013 год в с</w:t>
      </w:r>
      <w:r w:rsidR="006F3BB4" w:rsidRPr="00D208FF">
        <w:t>умме 34,0</w:t>
      </w:r>
      <w:r w:rsidR="00D102AB" w:rsidRPr="00D208FF">
        <w:t xml:space="preserve"> </w:t>
      </w:r>
      <w:r w:rsidR="00740495">
        <w:t>млрд.</w:t>
      </w:r>
      <w:r w:rsidR="00D102AB" w:rsidRPr="00D208FF">
        <w:t>рублей, 102,7%</w:t>
      </w:r>
      <w:r w:rsidRPr="00D208FF">
        <w:t xml:space="preserve"> к аналогичному периоду прошлого года.</w:t>
      </w:r>
    </w:p>
    <w:p w:rsidR="000F7E9A" w:rsidRPr="00D208FF" w:rsidRDefault="000F7E9A" w:rsidP="001626E0">
      <w:pPr>
        <w:jc w:val="both"/>
      </w:pPr>
      <w:r w:rsidRPr="00D208FF">
        <w:t>В структуре расходов консолидированного бюджета наибольший вес составили расходы на:</w:t>
      </w:r>
    </w:p>
    <w:p w:rsidR="000F7E9A" w:rsidRPr="00D208FF" w:rsidRDefault="000F7E9A" w:rsidP="001626E0">
      <w:pPr>
        <w:jc w:val="both"/>
      </w:pPr>
      <w:r w:rsidRPr="00D208FF">
        <w:t>национальную экономику – 7</w:t>
      </w:r>
      <w:r w:rsidR="006F3BB4" w:rsidRPr="00D208FF">
        <w:t>,</w:t>
      </w:r>
      <w:r w:rsidRPr="00D208FF">
        <w:t xml:space="preserve">9 </w:t>
      </w:r>
      <w:r w:rsidR="00740495">
        <w:t>млрд.</w:t>
      </w:r>
      <w:r w:rsidRPr="00D208FF">
        <w:t>рублей (23,3%);</w:t>
      </w:r>
    </w:p>
    <w:p w:rsidR="000F7E9A" w:rsidRPr="00D208FF" w:rsidRDefault="000F7E9A" w:rsidP="001626E0">
      <w:pPr>
        <w:jc w:val="both"/>
      </w:pPr>
      <w:r w:rsidRPr="00D208FF">
        <w:t>образование –</w:t>
      </w:r>
      <w:r w:rsidR="006F3BB4" w:rsidRPr="00D208FF">
        <w:t xml:space="preserve"> </w:t>
      </w:r>
      <w:r w:rsidRPr="00D208FF">
        <w:t>7</w:t>
      </w:r>
      <w:r w:rsidR="006F3BB4" w:rsidRPr="00D208FF">
        <w:t>,</w:t>
      </w:r>
      <w:r w:rsidRPr="00D208FF">
        <w:t xml:space="preserve">8 </w:t>
      </w:r>
      <w:r w:rsidR="00740495">
        <w:t>млрд.</w:t>
      </w:r>
      <w:r w:rsidRPr="00D208FF">
        <w:t>рублей (23,0%);</w:t>
      </w:r>
    </w:p>
    <w:p w:rsidR="000F7E9A" w:rsidRPr="00D208FF" w:rsidRDefault="000F7E9A" w:rsidP="001626E0">
      <w:pPr>
        <w:jc w:val="both"/>
      </w:pPr>
      <w:r w:rsidRPr="00D208FF">
        <w:t>социальную политику – 5</w:t>
      </w:r>
      <w:r w:rsidR="006F3BB4" w:rsidRPr="00D208FF">
        <w:t>,</w:t>
      </w:r>
      <w:r w:rsidRPr="00D208FF">
        <w:t xml:space="preserve">7 </w:t>
      </w:r>
      <w:r w:rsidR="00740495">
        <w:t>млрд.</w:t>
      </w:r>
      <w:r w:rsidRPr="00D208FF">
        <w:t>рублей (16,8%);</w:t>
      </w:r>
    </w:p>
    <w:p w:rsidR="000F7E9A" w:rsidRPr="00D208FF" w:rsidRDefault="000F7E9A" w:rsidP="001626E0">
      <w:pPr>
        <w:jc w:val="both"/>
      </w:pPr>
      <w:r w:rsidRPr="00D208FF">
        <w:t>здравоохранение – 4</w:t>
      </w:r>
      <w:r w:rsidR="006F3BB4" w:rsidRPr="00D208FF">
        <w:t>,</w:t>
      </w:r>
      <w:r w:rsidRPr="00D208FF">
        <w:t xml:space="preserve">4 </w:t>
      </w:r>
      <w:r w:rsidR="00740495">
        <w:t>млрд.</w:t>
      </w:r>
      <w:r w:rsidRPr="00D208FF">
        <w:t>рублей (13,1%);</w:t>
      </w:r>
    </w:p>
    <w:p w:rsidR="000F7E9A" w:rsidRPr="00D208FF" w:rsidRDefault="000F7E9A" w:rsidP="001626E0">
      <w:pPr>
        <w:jc w:val="both"/>
      </w:pPr>
      <w:r w:rsidRPr="00D208FF">
        <w:t>жилищно-коммунальное хозяйство – 2</w:t>
      </w:r>
      <w:r w:rsidR="006F3BB4" w:rsidRPr="00D208FF">
        <w:t>,5</w:t>
      </w:r>
      <w:r w:rsidRPr="00D208FF">
        <w:t xml:space="preserve"> </w:t>
      </w:r>
      <w:r w:rsidR="00740495">
        <w:t>млрд.</w:t>
      </w:r>
      <w:r w:rsidRPr="00D208FF">
        <w:t>рублей (7,5%);</w:t>
      </w:r>
    </w:p>
    <w:p w:rsidR="000F7E9A" w:rsidRPr="00D208FF" w:rsidRDefault="000F7E9A" w:rsidP="001626E0">
      <w:pPr>
        <w:jc w:val="both"/>
      </w:pPr>
      <w:r w:rsidRPr="00D208FF">
        <w:t>культур</w:t>
      </w:r>
      <w:r w:rsidR="00AB3119" w:rsidRPr="00D208FF">
        <w:t>у – 1</w:t>
      </w:r>
      <w:r w:rsidR="006F3BB4" w:rsidRPr="00D208FF">
        <w:t>,</w:t>
      </w:r>
      <w:r w:rsidR="00AB3119" w:rsidRPr="00D208FF">
        <w:t xml:space="preserve">0 </w:t>
      </w:r>
      <w:r w:rsidR="00740495">
        <w:t>млрд.</w:t>
      </w:r>
      <w:r w:rsidR="00AB3119" w:rsidRPr="00D208FF">
        <w:t>рублей (3,0%).</w:t>
      </w:r>
    </w:p>
    <w:p w:rsidR="007E4482" w:rsidRPr="00D208FF" w:rsidRDefault="000F7E9A" w:rsidP="001626E0">
      <w:pPr>
        <w:jc w:val="both"/>
      </w:pPr>
      <w:r w:rsidRPr="00D208FF">
        <w:t>Общий объем расходов консолидированного бюджета области в 2014 году ожидается в объеме – 33</w:t>
      </w:r>
      <w:r w:rsidR="00D208FF" w:rsidRPr="00D208FF">
        <w:t>,1</w:t>
      </w:r>
      <w:r w:rsidRPr="00D208FF">
        <w:t xml:space="preserve"> </w:t>
      </w:r>
      <w:r w:rsidR="00740495">
        <w:t>млрд.</w:t>
      </w:r>
      <w:r w:rsidRPr="00D208FF">
        <w:t>рублей.</w:t>
      </w:r>
      <w:r w:rsidR="007E4482" w:rsidRPr="00D208FF">
        <w:t xml:space="preserve"> </w:t>
      </w:r>
      <w:r w:rsidR="00D208FF" w:rsidRPr="00D208FF">
        <w:t xml:space="preserve">В </w:t>
      </w:r>
      <w:r w:rsidR="007E4482" w:rsidRPr="00D208FF">
        <w:t>2017 году – 3</w:t>
      </w:r>
      <w:r w:rsidR="00D208FF" w:rsidRPr="00D208FF">
        <w:t>2</w:t>
      </w:r>
      <w:r w:rsidR="006F3BB4" w:rsidRPr="00D208FF">
        <w:t>,</w:t>
      </w:r>
      <w:r w:rsidR="00D208FF" w:rsidRPr="00D208FF">
        <w:t>2</w:t>
      </w:r>
      <w:r w:rsidR="007E4482" w:rsidRPr="00D208FF">
        <w:t xml:space="preserve"> </w:t>
      </w:r>
      <w:r w:rsidR="00740495">
        <w:t>млрд.</w:t>
      </w:r>
      <w:r w:rsidR="007E4482" w:rsidRPr="00D208FF">
        <w:t>рублей по 1 варианту, 3</w:t>
      </w:r>
      <w:r w:rsidR="00D208FF" w:rsidRPr="00D208FF">
        <w:t>3</w:t>
      </w:r>
      <w:r w:rsidR="006F3BB4" w:rsidRPr="00D208FF">
        <w:t>,</w:t>
      </w:r>
      <w:r w:rsidR="00D208FF" w:rsidRPr="00D208FF">
        <w:t>1</w:t>
      </w:r>
      <w:r w:rsidR="007E4482" w:rsidRPr="00D208FF">
        <w:t xml:space="preserve"> </w:t>
      </w:r>
      <w:r w:rsidR="00740495">
        <w:t>млрд.</w:t>
      </w:r>
      <w:r w:rsidR="007E4482" w:rsidRPr="00D208FF">
        <w:t>рублей по 2 варианту.</w:t>
      </w:r>
    </w:p>
    <w:p w:rsidR="000F7E9A" w:rsidRPr="00D208FF" w:rsidRDefault="000F7E9A" w:rsidP="001626E0">
      <w:pPr>
        <w:jc w:val="both"/>
      </w:pPr>
      <w:r w:rsidRPr="00D208FF">
        <w:t>Расходы на 2015-</w:t>
      </w:r>
      <w:r w:rsidR="00D208FF" w:rsidRPr="00D208FF">
        <w:t>2017</w:t>
      </w:r>
      <w:r w:rsidRPr="00D208FF">
        <w:t xml:space="preserve"> годы сформированы исходя из следующих позиций:</w:t>
      </w:r>
    </w:p>
    <w:p w:rsidR="00740495" w:rsidRDefault="00740495" w:rsidP="00740495">
      <w:pPr>
        <w:jc w:val="both"/>
      </w:pPr>
      <w:r>
        <w:t>концентрация ресурсов на наиболее значимых мероприятиях и объектах с уточнением объемов бюджетных ассигнований на исполнение отдельных расходных обязательств;</w:t>
      </w:r>
    </w:p>
    <w:p w:rsidR="00740495" w:rsidRDefault="00740495" w:rsidP="00740495">
      <w:pPr>
        <w:jc w:val="both"/>
      </w:pPr>
      <w:r>
        <w:t>уточнение объема принятых обязательств с учетом прекращающихся расходных обязательств ограниченного срока действия, изменения контингента получателей; и проводимых мероприятий по оптимизации сети и штатной численности государственных областных учреждений;</w:t>
      </w:r>
    </w:p>
    <w:p w:rsidR="00740495" w:rsidRDefault="00740495" w:rsidP="00740495">
      <w:pPr>
        <w:jc w:val="both"/>
      </w:pPr>
      <w:r>
        <w:t>определение бюджетных ассигнований на оплату коммунальных услуг государственными и муниципальными учреждениями в 2015 году исходя из прогнозируемых объемов потребления топливно-энергетических ресурсов, тарифов, действующих с 01.07.2014 года и прогнозируемых с 01.07.2015 года, в 2016-2017 годах – с учетом предполагаемого среднегодового роста тарифов;</w:t>
      </w:r>
    </w:p>
    <w:p w:rsidR="00740495" w:rsidRDefault="00740495" w:rsidP="00740495">
      <w:pPr>
        <w:jc w:val="both"/>
      </w:pPr>
      <w:r>
        <w:t xml:space="preserve">повышение оплаты труда отдельных категорий работников учреждений в целях реализации указов Президента Российской Федерации от 07.05.2012 </w:t>
      </w:r>
      <w:r>
        <w:lastRenderedPageBreak/>
        <w:t>№597 «О мероприятиях по реализации государственной социальной политики», от 1 июня 2012 года, №761 «О Национальной стратегии действий в интересах детей на 201 -2017 годы» и от 28 декабря 2012 года №1688 «О некоторых мерах по реализации государственной политики в сфере защиты детей-сирот и детей, оставшихся без попечения родителей» (далее Указы Президента РФ №597, №761, №1688) исходя из необходимости доведения в 2015 году средней заработной платы по этим категориям работников до уровня целевых показателей 2014 года с индексацией ее с 1 января 2015 года на 5,5 % и недопущения снижения в 2015 году средней заработной платы по отдельным категориям работников конкретной отрасли по сравнению с ожидаемым уровнем 2014 года;</w:t>
      </w:r>
    </w:p>
    <w:p w:rsidR="00740495" w:rsidRDefault="00740495" w:rsidP="00740495">
      <w:pPr>
        <w:jc w:val="both"/>
      </w:pPr>
      <w:r>
        <w:t>повышение фондов оплаты труда работников учреждений (за исключением отдельных категорий работников, заработная плата которых повышается в соответствии с Указами Президента РФ №597, №761, №1688), фондов оплаты труда органов государственной власти области (органов местного самоуправления) с 1 октября 2015 году на 5,5%;</w:t>
      </w:r>
    </w:p>
    <w:p w:rsidR="00740495" w:rsidRDefault="00740495" w:rsidP="00740495">
      <w:pPr>
        <w:jc w:val="both"/>
      </w:pPr>
      <w:r>
        <w:t>формирование расходов на осуществление бюджетных инвестиций в объекты областной и муниципальной собственности с учетом необходимости завершения строительства начатых объектов и возможности привлечения средств федерального бюджета на строительство новых объектов;</w:t>
      </w:r>
    </w:p>
    <w:p w:rsidR="00740495" w:rsidRDefault="00740495" w:rsidP="00740495">
      <w:pPr>
        <w:jc w:val="both"/>
      </w:pPr>
      <w:r>
        <w:t>сохранение расходов на материальные затраты, питание, медикаменты на уровне 2014 года.</w:t>
      </w:r>
    </w:p>
    <w:p w:rsidR="00740495" w:rsidRDefault="00740495" w:rsidP="00740495">
      <w:pPr>
        <w:pStyle w:val="NormalANX"/>
        <w:spacing w:before="0" w:after="0" w:line="360" w:lineRule="atLeast"/>
        <w:ind w:firstLine="709"/>
        <w:rPr>
          <w:szCs w:val="28"/>
        </w:rPr>
      </w:pPr>
      <w:r w:rsidRPr="00F92BEB">
        <w:rPr>
          <w:szCs w:val="28"/>
        </w:rPr>
        <w:t>Дефицит консолидированного бюджета области за 2014 год ожидается в размере 4</w:t>
      </w:r>
      <w:r>
        <w:rPr>
          <w:szCs w:val="28"/>
        </w:rPr>
        <w:t>,</w:t>
      </w:r>
      <w:r w:rsidRPr="00F92BEB">
        <w:rPr>
          <w:szCs w:val="28"/>
        </w:rPr>
        <w:t>9 мл</w:t>
      </w:r>
      <w:r>
        <w:rPr>
          <w:szCs w:val="28"/>
        </w:rPr>
        <w:t>рд</w:t>
      </w:r>
      <w:r w:rsidRPr="00F92BEB">
        <w:rPr>
          <w:szCs w:val="28"/>
        </w:rPr>
        <w:t xml:space="preserve">.рублей, на 2015 год планируется </w:t>
      </w:r>
      <w:r>
        <w:rPr>
          <w:szCs w:val="28"/>
        </w:rPr>
        <w:t>в размере</w:t>
      </w:r>
      <w:r w:rsidRPr="00F92BEB">
        <w:rPr>
          <w:szCs w:val="28"/>
        </w:rPr>
        <w:t xml:space="preserve"> 1</w:t>
      </w:r>
      <w:r>
        <w:rPr>
          <w:szCs w:val="28"/>
        </w:rPr>
        <w:t>,</w:t>
      </w:r>
      <w:r w:rsidRPr="00F92BEB">
        <w:rPr>
          <w:szCs w:val="28"/>
        </w:rPr>
        <w:t>5 мл</w:t>
      </w:r>
      <w:r>
        <w:rPr>
          <w:szCs w:val="28"/>
        </w:rPr>
        <w:t>рд</w:t>
      </w:r>
      <w:r w:rsidRPr="00F92BEB">
        <w:rPr>
          <w:szCs w:val="28"/>
        </w:rPr>
        <w:t xml:space="preserve">.рублей, на 2017 год– 0 рублей. На 2016 год планируется профицит </w:t>
      </w:r>
      <w:r>
        <w:rPr>
          <w:szCs w:val="28"/>
        </w:rPr>
        <w:t xml:space="preserve">в размере </w:t>
      </w:r>
      <w:r w:rsidRPr="00F92BEB">
        <w:rPr>
          <w:szCs w:val="28"/>
        </w:rPr>
        <w:t>3</w:t>
      </w:r>
      <w:r>
        <w:rPr>
          <w:szCs w:val="28"/>
        </w:rPr>
        <w:t>,</w:t>
      </w:r>
      <w:r w:rsidRPr="00F92BEB">
        <w:rPr>
          <w:szCs w:val="28"/>
        </w:rPr>
        <w:t>7</w:t>
      </w:r>
      <w:r>
        <w:rPr>
          <w:szCs w:val="28"/>
        </w:rPr>
        <w:t>млрд.</w:t>
      </w:r>
      <w:r w:rsidRPr="00F92BEB">
        <w:rPr>
          <w:szCs w:val="28"/>
        </w:rPr>
        <w:t>рублей.</w:t>
      </w:r>
    </w:p>
    <w:p w:rsidR="00740495" w:rsidRPr="00F92BEB" w:rsidRDefault="00740495" w:rsidP="00740495">
      <w:pPr>
        <w:pStyle w:val="NormalANX"/>
        <w:spacing w:before="0" w:after="0" w:line="360" w:lineRule="atLeast"/>
        <w:ind w:firstLine="709"/>
        <w:rPr>
          <w:szCs w:val="28"/>
        </w:rPr>
      </w:pPr>
      <w:r w:rsidRPr="00F92BEB">
        <w:rPr>
          <w:rFonts w:eastAsia="Calibri"/>
          <w:szCs w:val="28"/>
        </w:rPr>
        <w:t>Профицит областного бюджета в сумме 3</w:t>
      </w:r>
      <w:r>
        <w:rPr>
          <w:rFonts w:eastAsia="Calibri"/>
          <w:szCs w:val="28"/>
        </w:rPr>
        <w:t>,</w:t>
      </w:r>
      <w:r w:rsidRPr="00F92BEB">
        <w:rPr>
          <w:rFonts w:eastAsia="Calibri"/>
          <w:szCs w:val="28"/>
        </w:rPr>
        <w:t>7</w:t>
      </w:r>
      <w:r>
        <w:rPr>
          <w:rFonts w:eastAsia="Calibri"/>
          <w:szCs w:val="28"/>
        </w:rPr>
        <w:t xml:space="preserve"> мдлр.рублей</w:t>
      </w:r>
      <w:r w:rsidRPr="00F92BEB">
        <w:rPr>
          <w:rFonts w:eastAsia="Calibri"/>
          <w:szCs w:val="28"/>
        </w:rPr>
        <w:t xml:space="preserve"> планируется в целях обеспечения поэтапного сокращения доли общего объема долговых обязательств области по кредитам от кредитных организаций и к 1 января 2017 года до уровня 50 процентов суммы доходов областного бюджета без учета безвозмездных поступлений за 2016 год.</w:t>
      </w:r>
    </w:p>
    <w:p w:rsidR="000F7E9A" w:rsidRPr="00740495" w:rsidRDefault="000F7E9A" w:rsidP="001626E0">
      <w:pPr>
        <w:jc w:val="both"/>
      </w:pPr>
      <w:r w:rsidRPr="00740495">
        <w:t>Государственный долг области и муниципальный долг в 2012-2014 годах составили</w:t>
      </w:r>
      <w:r w:rsidR="00740495">
        <w:t>, млн.рублей</w:t>
      </w:r>
      <w:r w:rsidRPr="00740495">
        <w:t>:</w:t>
      </w:r>
    </w:p>
    <w:tbl>
      <w:tblPr>
        <w:tblStyle w:val="aa"/>
        <w:tblW w:w="9540" w:type="dxa"/>
        <w:tblInd w:w="108" w:type="dxa"/>
        <w:tblLook w:val="01E0" w:firstRow="1" w:lastRow="1" w:firstColumn="1" w:lastColumn="1" w:noHBand="0" w:noVBand="0"/>
      </w:tblPr>
      <w:tblGrid>
        <w:gridCol w:w="3960"/>
        <w:gridCol w:w="1676"/>
        <w:gridCol w:w="1980"/>
        <w:gridCol w:w="1924"/>
      </w:tblGrid>
      <w:tr w:rsidR="00664480" w:rsidRPr="00740495" w:rsidTr="006F3BB4">
        <w:trPr>
          <w:tblHeader/>
        </w:trPr>
        <w:tc>
          <w:tcPr>
            <w:tcW w:w="3960" w:type="dxa"/>
            <w:vMerge w:val="restart"/>
          </w:tcPr>
          <w:p w:rsidR="00664480" w:rsidRPr="00740495" w:rsidRDefault="00664480" w:rsidP="00664480">
            <w:pPr>
              <w:pStyle w:val="NormalANX"/>
              <w:spacing w:before="0" w:after="0" w:line="240" w:lineRule="exact"/>
              <w:ind w:firstLine="0"/>
              <w:rPr>
                <w:sz w:val="24"/>
                <w:szCs w:val="24"/>
              </w:rPr>
            </w:pPr>
          </w:p>
        </w:tc>
        <w:tc>
          <w:tcPr>
            <w:tcW w:w="5580" w:type="dxa"/>
            <w:gridSpan w:val="3"/>
          </w:tcPr>
          <w:p w:rsidR="00664480" w:rsidRPr="00740495" w:rsidRDefault="00664480" w:rsidP="00664480">
            <w:pPr>
              <w:pStyle w:val="NormalANX"/>
              <w:spacing w:before="0" w:after="0" w:line="240" w:lineRule="exact"/>
              <w:ind w:firstLine="0"/>
              <w:jc w:val="center"/>
              <w:rPr>
                <w:b/>
                <w:sz w:val="24"/>
                <w:szCs w:val="24"/>
              </w:rPr>
            </w:pPr>
            <w:r w:rsidRPr="00740495">
              <w:rPr>
                <w:b/>
                <w:sz w:val="24"/>
                <w:szCs w:val="24"/>
              </w:rPr>
              <w:t>Период</w:t>
            </w:r>
          </w:p>
        </w:tc>
      </w:tr>
      <w:tr w:rsidR="00664480" w:rsidRPr="00740495" w:rsidTr="006F3BB4">
        <w:trPr>
          <w:tblHeader/>
        </w:trPr>
        <w:tc>
          <w:tcPr>
            <w:tcW w:w="3960" w:type="dxa"/>
            <w:vMerge/>
          </w:tcPr>
          <w:p w:rsidR="00664480" w:rsidRPr="00740495" w:rsidRDefault="00664480" w:rsidP="00664480">
            <w:pPr>
              <w:pStyle w:val="NormalANX"/>
              <w:spacing w:before="0" w:after="0" w:line="240" w:lineRule="exact"/>
              <w:ind w:firstLine="0"/>
              <w:rPr>
                <w:sz w:val="24"/>
                <w:szCs w:val="24"/>
              </w:rPr>
            </w:pPr>
          </w:p>
        </w:tc>
        <w:tc>
          <w:tcPr>
            <w:tcW w:w="1676" w:type="dxa"/>
            <w:vAlign w:val="center"/>
          </w:tcPr>
          <w:p w:rsidR="00664480" w:rsidRPr="00740495" w:rsidRDefault="00664480" w:rsidP="00664480">
            <w:pPr>
              <w:pStyle w:val="NormalANX"/>
              <w:spacing w:before="0" w:after="0" w:line="240" w:lineRule="exact"/>
              <w:ind w:firstLine="0"/>
              <w:jc w:val="center"/>
              <w:rPr>
                <w:b/>
                <w:sz w:val="24"/>
                <w:szCs w:val="24"/>
              </w:rPr>
            </w:pPr>
            <w:r w:rsidRPr="00740495">
              <w:rPr>
                <w:b/>
                <w:sz w:val="24"/>
                <w:szCs w:val="24"/>
              </w:rPr>
              <w:t>2012</w:t>
            </w:r>
          </w:p>
        </w:tc>
        <w:tc>
          <w:tcPr>
            <w:tcW w:w="1980" w:type="dxa"/>
            <w:vAlign w:val="center"/>
          </w:tcPr>
          <w:p w:rsidR="00664480" w:rsidRPr="00740495" w:rsidRDefault="00664480" w:rsidP="00664480">
            <w:pPr>
              <w:pStyle w:val="NormalANX"/>
              <w:spacing w:before="0" w:after="0" w:line="240" w:lineRule="exact"/>
              <w:ind w:firstLine="0"/>
              <w:jc w:val="center"/>
              <w:rPr>
                <w:b/>
                <w:sz w:val="24"/>
                <w:szCs w:val="24"/>
              </w:rPr>
            </w:pPr>
            <w:r w:rsidRPr="00740495">
              <w:rPr>
                <w:b/>
                <w:sz w:val="24"/>
                <w:szCs w:val="24"/>
              </w:rPr>
              <w:t>2013</w:t>
            </w:r>
          </w:p>
        </w:tc>
        <w:tc>
          <w:tcPr>
            <w:tcW w:w="1924" w:type="dxa"/>
            <w:vAlign w:val="center"/>
          </w:tcPr>
          <w:p w:rsidR="00664480" w:rsidRPr="00740495" w:rsidRDefault="00664480" w:rsidP="00664480">
            <w:pPr>
              <w:pStyle w:val="NormalANX"/>
              <w:spacing w:before="0" w:after="0" w:line="240" w:lineRule="exact"/>
              <w:ind w:firstLine="0"/>
              <w:jc w:val="center"/>
              <w:rPr>
                <w:b/>
                <w:sz w:val="24"/>
                <w:szCs w:val="24"/>
              </w:rPr>
            </w:pPr>
            <w:r w:rsidRPr="00740495">
              <w:rPr>
                <w:b/>
                <w:sz w:val="24"/>
                <w:szCs w:val="24"/>
              </w:rPr>
              <w:t>Ожидаемое исполнение за 2014 год</w:t>
            </w:r>
          </w:p>
        </w:tc>
      </w:tr>
      <w:tr w:rsidR="00740495" w:rsidRPr="00740495" w:rsidTr="00C54037">
        <w:tc>
          <w:tcPr>
            <w:tcW w:w="3960" w:type="dxa"/>
          </w:tcPr>
          <w:p w:rsidR="00740495" w:rsidRPr="00740495" w:rsidRDefault="00740495" w:rsidP="00664480">
            <w:pPr>
              <w:pStyle w:val="NormalANX"/>
              <w:spacing w:before="0" w:after="0" w:line="240" w:lineRule="exact"/>
              <w:ind w:firstLine="0"/>
              <w:rPr>
                <w:sz w:val="24"/>
                <w:szCs w:val="24"/>
              </w:rPr>
            </w:pPr>
            <w:r w:rsidRPr="00740495">
              <w:rPr>
                <w:sz w:val="24"/>
                <w:szCs w:val="24"/>
              </w:rPr>
              <w:t>Объем государственного долга, всего</w:t>
            </w:r>
          </w:p>
        </w:tc>
        <w:tc>
          <w:tcPr>
            <w:tcW w:w="1676" w:type="dxa"/>
          </w:tcPr>
          <w:p w:rsidR="00740495" w:rsidRPr="00740495" w:rsidRDefault="00740495" w:rsidP="00740495">
            <w:pPr>
              <w:pStyle w:val="NormalANX"/>
              <w:spacing w:before="0" w:after="0" w:line="360" w:lineRule="exact"/>
              <w:ind w:firstLine="0"/>
              <w:jc w:val="center"/>
              <w:rPr>
                <w:sz w:val="28"/>
                <w:szCs w:val="28"/>
              </w:rPr>
            </w:pPr>
            <w:r w:rsidRPr="00740495">
              <w:rPr>
                <w:sz w:val="28"/>
                <w:szCs w:val="28"/>
              </w:rPr>
              <w:t>9</w:t>
            </w:r>
            <w:r>
              <w:rPr>
                <w:sz w:val="28"/>
                <w:szCs w:val="28"/>
              </w:rPr>
              <w:t xml:space="preserve"> </w:t>
            </w:r>
            <w:r w:rsidRPr="00740495">
              <w:rPr>
                <w:sz w:val="28"/>
                <w:szCs w:val="28"/>
              </w:rPr>
              <w:t>609,4</w:t>
            </w:r>
          </w:p>
        </w:tc>
        <w:tc>
          <w:tcPr>
            <w:tcW w:w="1980" w:type="dxa"/>
          </w:tcPr>
          <w:p w:rsidR="00740495" w:rsidRPr="00740495" w:rsidRDefault="00740495" w:rsidP="00740495">
            <w:pPr>
              <w:pStyle w:val="NormalANX"/>
              <w:spacing w:before="0" w:after="0" w:line="360" w:lineRule="exact"/>
              <w:ind w:firstLine="0"/>
              <w:jc w:val="center"/>
              <w:rPr>
                <w:sz w:val="28"/>
                <w:szCs w:val="28"/>
              </w:rPr>
            </w:pPr>
            <w:r w:rsidRPr="00740495">
              <w:rPr>
                <w:sz w:val="28"/>
                <w:szCs w:val="28"/>
              </w:rPr>
              <w:t>12 834,5</w:t>
            </w:r>
          </w:p>
        </w:tc>
        <w:tc>
          <w:tcPr>
            <w:tcW w:w="1924" w:type="dxa"/>
          </w:tcPr>
          <w:p w:rsidR="00740495" w:rsidRPr="00740495" w:rsidRDefault="00740495" w:rsidP="00740495">
            <w:pPr>
              <w:pStyle w:val="NormalANX"/>
              <w:spacing w:before="0" w:after="0" w:line="360" w:lineRule="exact"/>
              <w:ind w:firstLine="0"/>
              <w:jc w:val="center"/>
              <w:rPr>
                <w:sz w:val="28"/>
                <w:szCs w:val="28"/>
              </w:rPr>
            </w:pPr>
            <w:r w:rsidRPr="00740495">
              <w:rPr>
                <w:sz w:val="28"/>
                <w:szCs w:val="28"/>
              </w:rPr>
              <w:t>14 499,9</w:t>
            </w:r>
          </w:p>
        </w:tc>
      </w:tr>
      <w:tr w:rsidR="00740495" w:rsidRPr="00740495" w:rsidTr="00C54037">
        <w:tc>
          <w:tcPr>
            <w:tcW w:w="3960" w:type="dxa"/>
          </w:tcPr>
          <w:p w:rsidR="00740495" w:rsidRPr="00740495" w:rsidRDefault="00740495" w:rsidP="00664480">
            <w:pPr>
              <w:pStyle w:val="NormalANX"/>
              <w:spacing w:before="0" w:after="0" w:line="240" w:lineRule="exact"/>
              <w:ind w:firstLine="0"/>
              <w:rPr>
                <w:sz w:val="24"/>
                <w:szCs w:val="24"/>
              </w:rPr>
            </w:pPr>
            <w:r w:rsidRPr="00740495">
              <w:rPr>
                <w:sz w:val="24"/>
                <w:szCs w:val="24"/>
              </w:rPr>
              <w:t>Бюджетные кредиты</w:t>
            </w:r>
          </w:p>
        </w:tc>
        <w:tc>
          <w:tcPr>
            <w:tcW w:w="1676" w:type="dxa"/>
          </w:tcPr>
          <w:p w:rsidR="00740495" w:rsidRPr="00740495" w:rsidRDefault="00740495" w:rsidP="00740495">
            <w:pPr>
              <w:pStyle w:val="NormalANX"/>
              <w:spacing w:before="0" w:after="0" w:line="360" w:lineRule="exact"/>
              <w:ind w:firstLine="0"/>
              <w:jc w:val="center"/>
              <w:rPr>
                <w:sz w:val="28"/>
                <w:szCs w:val="28"/>
              </w:rPr>
            </w:pPr>
            <w:r w:rsidRPr="00740495">
              <w:rPr>
                <w:sz w:val="28"/>
                <w:szCs w:val="28"/>
              </w:rPr>
              <w:t>4 104,8</w:t>
            </w:r>
          </w:p>
        </w:tc>
        <w:tc>
          <w:tcPr>
            <w:tcW w:w="1980" w:type="dxa"/>
          </w:tcPr>
          <w:p w:rsidR="00740495" w:rsidRPr="00740495" w:rsidRDefault="00740495" w:rsidP="00740495">
            <w:pPr>
              <w:pStyle w:val="NormalANX"/>
              <w:spacing w:before="0" w:after="0" w:line="360" w:lineRule="exact"/>
              <w:ind w:firstLine="0"/>
              <w:jc w:val="center"/>
              <w:rPr>
                <w:sz w:val="28"/>
                <w:szCs w:val="28"/>
              </w:rPr>
            </w:pPr>
            <w:r w:rsidRPr="00740495">
              <w:rPr>
                <w:sz w:val="28"/>
                <w:szCs w:val="28"/>
              </w:rPr>
              <w:t>5 654,8</w:t>
            </w:r>
          </w:p>
        </w:tc>
        <w:tc>
          <w:tcPr>
            <w:tcW w:w="1924" w:type="dxa"/>
          </w:tcPr>
          <w:p w:rsidR="00740495" w:rsidRPr="00740495" w:rsidRDefault="00740495" w:rsidP="00740495">
            <w:pPr>
              <w:pStyle w:val="NormalANX"/>
              <w:spacing w:before="0" w:after="0" w:line="360" w:lineRule="exact"/>
              <w:ind w:firstLine="0"/>
              <w:jc w:val="center"/>
              <w:rPr>
                <w:sz w:val="28"/>
                <w:szCs w:val="28"/>
              </w:rPr>
            </w:pPr>
            <w:r w:rsidRPr="00740495">
              <w:rPr>
                <w:sz w:val="28"/>
                <w:szCs w:val="28"/>
              </w:rPr>
              <w:t>6 039,1</w:t>
            </w:r>
          </w:p>
        </w:tc>
      </w:tr>
      <w:tr w:rsidR="00740495" w:rsidRPr="00740495" w:rsidTr="00C54037">
        <w:tc>
          <w:tcPr>
            <w:tcW w:w="3960" w:type="dxa"/>
          </w:tcPr>
          <w:p w:rsidR="00740495" w:rsidRPr="00740495" w:rsidRDefault="00740495" w:rsidP="00664480">
            <w:pPr>
              <w:pStyle w:val="NormalANX"/>
              <w:spacing w:before="0" w:after="0" w:line="240" w:lineRule="exact"/>
              <w:ind w:firstLine="0"/>
              <w:rPr>
                <w:sz w:val="24"/>
                <w:szCs w:val="24"/>
              </w:rPr>
            </w:pPr>
            <w:r w:rsidRPr="00740495">
              <w:rPr>
                <w:sz w:val="24"/>
                <w:szCs w:val="24"/>
              </w:rPr>
              <w:t>Кредиты банков</w:t>
            </w:r>
          </w:p>
        </w:tc>
        <w:tc>
          <w:tcPr>
            <w:tcW w:w="1676" w:type="dxa"/>
          </w:tcPr>
          <w:p w:rsidR="00740495" w:rsidRPr="00740495" w:rsidRDefault="00740495" w:rsidP="00740495">
            <w:pPr>
              <w:pStyle w:val="NormalANX"/>
              <w:spacing w:before="0" w:after="0" w:line="360" w:lineRule="exact"/>
              <w:ind w:firstLine="0"/>
              <w:jc w:val="center"/>
              <w:rPr>
                <w:sz w:val="28"/>
                <w:szCs w:val="28"/>
              </w:rPr>
            </w:pPr>
            <w:r w:rsidRPr="00740495">
              <w:rPr>
                <w:sz w:val="28"/>
                <w:szCs w:val="28"/>
              </w:rPr>
              <w:t>5 250,0</w:t>
            </w:r>
          </w:p>
        </w:tc>
        <w:tc>
          <w:tcPr>
            <w:tcW w:w="1980" w:type="dxa"/>
          </w:tcPr>
          <w:p w:rsidR="00740495" w:rsidRPr="00740495" w:rsidRDefault="00740495" w:rsidP="00740495">
            <w:pPr>
              <w:pStyle w:val="NormalANX"/>
              <w:spacing w:before="0" w:after="0" w:line="360" w:lineRule="exact"/>
              <w:ind w:firstLine="0"/>
              <w:jc w:val="center"/>
              <w:rPr>
                <w:sz w:val="28"/>
                <w:szCs w:val="28"/>
              </w:rPr>
            </w:pPr>
            <w:r w:rsidRPr="00740495">
              <w:rPr>
                <w:sz w:val="28"/>
                <w:szCs w:val="28"/>
              </w:rPr>
              <w:t>6 950,0</w:t>
            </w:r>
          </w:p>
        </w:tc>
        <w:tc>
          <w:tcPr>
            <w:tcW w:w="1924" w:type="dxa"/>
          </w:tcPr>
          <w:p w:rsidR="00740495" w:rsidRPr="00740495" w:rsidRDefault="00740495" w:rsidP="00740495">
            <w:pPr>
              <w:pStyle w:val="NormalANX"/>
              <w:spacing w:before="0" w:after="0" w:line="360" w:lineRule="exact"/>
              <w:ind w:firstLine="0"/>
              <w:jc w:val="center"/>
              <w:rPr>
                <w:sz w:val="28"/>
                <w:szCs w:val="28"/>
              </w:rPr>
            </w:pPr>
            <w:r w:rsidRPr="00740495">
              <w:rPr>
                <w:sz w:val="28"/>
                <w:szCs w:val="28"/>
              </w:rPr>
              <w:t>8 400,0</w:t>
            </w:r>
          </w:p>
        </w:tc>
      </w:tr>
      <w:tr w:rsidR="00740495" w:rsidRPr="00740495" w:rsidTr="00C54037">
        <w:tc>
          <w:tcPr>
            <w:tcW w:w="3960" w:type="dxa"/>
          </w:tcPr>
          <w:p w:rsidR="00740495" w:rsidRPr="00740495" w:rsidRDefault="00740495" w:rsidP="00664480">
            <w:pPr>
              <w:pStyle w:val="NormalANX"/>
              <w:spacing w:before="0" w:after="0" w:line="240" w:lineRule="exact"/>
              <w:ind w:firstLine="0"/>
              <w:rPr>
                <w:sz w:val="24"/>
                <w:szCs w:val="24"/>
              </w:rPr>
            </w:pPr>
            <w:r w:rsidRPr="00740495">
              <w:rPr>
                <w:sz w:val="24"/>
                <w:szCs w:val="24"/>
              </w:rPr>
              <w:t>Государственные гарантии</w:t>
            </w:r>
          </w:p>
        </w:tc>
        <w:tc>
          <w:tcPr>
            <w:tcW w:w="1676" w:type="dxa"/>
          </w:tcPr>
          <w:p w:rsidR="00740495" w:rsidRPr="00740495" w:rsidRDefault="00740495" w:rsidP="00740495">
            <w:pPr>
              <w:pStyle w:val="NormalANX"/>
              <w:spacing w:before="0" w:after="0" w:line="360" w:lineRule="exact"/>
              <w:ind w:firstLine="0"/>
              <w:jc w:val="center"/>
              <w:rPr>
                <w:sz w:val="28"/>
                <w:szCs w:val="28"/>
              </w:rPr>
            </w:pPr>
            <w:r w:rsidRPr="00740495">
              <w:rPr>
                <w:sz w:val="28"/>
                <w:szCs w:val="28"/>
              </w:rPr>
              <w:t>254,6</w:t>
            </w:r>
          </w:p>
        </w:tc>
        <w:tc>
          <w:tcPr>
            <w:tcW w:w="1980" w:type="dxa"/>
          </w:tcPr>
          <w:p w:rsidR="00740495" w:rsidRPr="00740495" w:rsidRDefault="00740495" w:rsidP="00740495">
            <w:pPr>
              <w:pStyle w:val="NormalANX"/>
              <w:spacing w:before="0" w:after="0" w:line="360" w:lineRule="exact"/>
              <w:ind w:firstLine="0"/>
              <w:jc w:val="center"/>
              <w:rPr>
                <w:sz w:val="28"/>
                <w:szCs w:val="28"/>
              </w:rPr>
            </w:pPr>
            <w:r w:rsidRPr="00740495">
              <w:rPr>
                <w:sz w:val="28"/>
                <w:szCs w:val="28"/>
              </w:rPr>
              <w:t>229,7</w:t>
            </w:r>
          </w:p>
        </w:tc>
        <w:tc>
          <w:tcPr>
            <w:tcW w:w="1924" w:type="dxa"/>
          </w:tcPr>
          <w:p w:rsidR="00740495" w:rsidRPr="00740495" w:rsidRDefault="00740495" w:rsidP="00740495">
            <w:pPr>
              <w:pStyle w:val="NormalANX"/>
              <w:spacing w:before="0" w:after="0" w:line="360" w:lineRule="exact"/>
              <w:ind w:firstLine="0"/>
              <w:jc w:val="center"/>
              <w:rPr>
                <w:sz w:val="28"/>
                <w:szCs w:val="28"/>
              </w:rPr>
            </w:pPr>
            <w:r w:rsidRPr="00740495">
              <w:rPr>
                <w:sz w:val="28"/>
                <w:szCs w:val="28"/>
              </w:rPr>
              <w:t>60,8</w:t>
            </w:r>
          </w:p>
        </w:tc>
      </w:tr>
      <w:tr w:rsidR="00740495" w:rsidRPr="00740495" w:rsidTr="00C54037">
        <w:tc>
          <w:tcPr>
            <w:tcW w:w="3960" w:type="dxa"/>
          </w:tcPr>
          <w:p w:rsidR="00740495" w:rsidRPr="00740495" w:rsidRDefault="00740495" w:rsidP="00664480">
            <w:pPr>
              <w:pStyle w:val="NormalANX"/>
              <w:spacing w:before="0" w:after="0" w:line="240" w:lineRule="exact"/>
              <w:ind w:firstLine="0"/>
              <w:rPr>
                <w:sz w:val="24"/>
                <w:szCs w:val="24"/>
              </w:rPr>
            </w:pPr>
            <w:r w:rsidRPr="00740495">
              <w:rPr>
                <w:sz w:val="24"/>
                <w:szCs w:val="24"/>
              </w:rPr>
              <w:lastRenderedPageBreak/>
              <w:t>Муниципальный долг</w:t>
            </w:r>
          </w:p>
        </w:tc>
        <w:tc>
          <w:tcPr>
            <w:tcW w:w="1676" w:type="dxa"/>
          </w:tcPr>
          <w:p w:rsidR="00740495" w:rsidRPr="00740495" w:rsidRDefault="00740495" w:rsidP="00740495">
            <w:pPr>
              <w:pStyle w:val="NormalANX"/>
              <w:spacing w:before="0" w:after="0" w:line="360" w:lineRule="exact"/>
              <w:ind w:firstLine="0"/>
              <w:jc w:val="center"/>
              <w:rPr>
                <w:sz w:val="28"/>
                <w:szCs w:val="28"/>
              </w:rPr>
            </w:pPr>
            <w:r w:rsidRPr="00740495">
              <w:rPr>
                <w:sz w:val="28"/>
                <w:szCs w:val="28"/>
              </w:rPr>
              <w:t>1 198,3</w:t>
            </w:r>
          </w:p>
        </w:tc>
        <w:tc>
          <w:tcPr>
            <w:tcW w:w="1980" w:type="dxa"/>
          </w:tcPr>
          <w:p w:rsidR="00740495" w:rsidRPr="00740495" w:rsidRDefault="00740495" w:rsidP="00740495">
            <w:pPr>
              <w:pStyle w:val="NormalANX"/>
              <w:spacing w:before="0" w:after="0" w:line="360" w:lineRule="exact"/>
              <w:ind w:firstLine="0"/>
              <w:jc w:val="center"/>
              <w:rPr>
                <w:sz w:val="28"/>
                <w:szCs w:val="28"/>
              </w:rPr>
            </w:pPr>
            <w:r w:rsidRPr="00740495">
              <w:rPr>
                <w:sz w:val="28"/>
                <w:szCs w:val="28"/>
              </w:rPr>
              <w:t>1776,4</w:t>
            </w:r>
          </w:p>
        </w:tc>
        <w:tc>
          <w:tcPr>
            <w:tcW w:w="1924" w:type="dxa"/>
          </w:tcPr>
          <w:p w:rsidR="00740495" w:rsidRPr="00740495" w:rsidRDefault="00740495" w:rsidP="00740495">
            <w:pPr>
              <w:pStyle w:val="NormalANX"/>
              <w:spacing w:before="0" w:after="0" w:line="360" w:lineRule="exact"/>
              <w:ind w:firstLine="0"/>
              <w:jc w:val="center"/>
              <w:rPr>
                <w:sz w:val="28"/>
                <w:szCs w:val="28"/>
              </w:rPr>
            </w:pPr>
            <w:r w:rsidRPr="00740495">
              <w:rPr>
                <w:sz w:val="28"/>
                <w:szCs w:val="28"/>
              </w:rPr>
              <w:t>2 492,0</w:t>
            </w:r>
          </w:p>
        </w:tc>
      </w:tr>
      <w:tr w:rsidR="00740495" w:rsidRPr="00542B65" w:rsidTr="00C54037">
        <w:tc>
          <w:tcPr>
            <w:tcW w:w="3960" w:type="dxa"/>
          </w:tcPr>
          <w:p w:rsidR="00740495" w:rsidRPr="00740495" w:rsidRDefault="00740495" w:rsidP="00664480">
            <w:pPr>
              <w:pStyle w:val="NormalANX"/>
              <w:spacing w:before="0" w:after="0" w:line="240" w:lineRule="exact"/>
              <w:ind w:firstLine="0"/>
              <w:rPr>
                <w:sz w:val="24"/>
                <w:szCs w:val="24"/>
              </w:rPr>
            </w:pPr>
            <w:r w:rsidRPr="00740495">
              <w:rPr>
                <w:sz w:val="24"/>
                <w:szCs w:val="24"/>
              </w:rPr>
              <w:t>Итого государственный и муниципальный долг</w:t>
            </w:r>
          </w:p>
        </w:tc>
        <w:tc>
          <w:tcPr>
            <w:tcW w:w="1676" w:type="dxa"/>
          </w:tcPr>
          <w:p w:rsidR="00740495" w:rsidRPr="00740495" w:rsidRDefault="00740495" w:rsidP="00740495">
            <w:pPr>
              <w:pStyle w:val="NormalANX"/>
              <w:spacing w:before="0" w:after="0" w:line="360" w:lineRule="exact"/>
              <w:ind w:firstLine="0"/>
              <w:jc w:val="center"/>
              <w:rPr>
                <w:sz w:val="28"/>
                <w:szCs w:val="28"/>
              </w:rPr>
            </w:pPr>
            <w:r w:rsidRPr="00740495">
              <w:rPr>
                <w:sz w:val="28"/>
                <w:szCs w:val="28"/>
              </w:rPr>
              <w:t>11 547,5</w:t>
            </w:r>
          </w:p>
        </w:tc>
        <w:tc>
          <w:tcPr>
            <w:tcW w:w="1980" w:type="dxa"/>
          </w:tcPr>
          <w:p w:rsidR="00740495" w:rsidRPr="00740495" w:rsidRDefault="00740495" w:rsidP="00740495">
            <w:pPr>
              <w:pStyle w:val="NormalANX"/>
              <w:spacing w:before="0" w:after="0" w:line="360" w:lineRule="exact"/>
              <w:ind w:firstLine="0"/>
              <w:jc w:val="center"/>
              <w:rPr>
                <w:sz w:val="28"/>
                <w:szCs w:val="28"/>
              </w:rPr>
            </w:pPr>
            <w:r w:rsidRPr="00740495">
              <w:rPr>
                <w:sz w:val="28"/>
                <w:szCs w:val="28"/>
              </w:rPr>
              <w:t>14 990,6</w:t>
            </w:r>
          </w:p>
        </w:tc>
        <w:tc>
          <w:tcPr>
            <w:tcW w:w="1924" w:type="dxa"/>
          </w:tcPr>
          <w:p w:rsidR="00740495" w:rsidRPr="00740495" w:rsidRDefault="00740495" w:rsidP="00740495">
            <w:pPr>
              <w:pStyle w:val="NormalANX"/>
              <w:spacing w:before="0" w:after="0" w:line="360" w:lineRule="exact"/>
              <w:ind w:firstLine="0"/>
              <w:jc w:val="center"/>
              <w:rPr>
                <w:sz w:val="28"/>
                <w:szCs w:val="28"/>
              </w:rPr>
            </w:pPr>
            <w:r w:rsidRPr="00740495">
              <w:rPr>
                <w:sz w:val="28"/>
                <w:szCs w:val="28"/>
              </w:rPr>
              <w:t>16 991,9</w:t>
            </w:r>
          </w:p>
        </w:tc>
      </w:tr>
    </w:tbl>
    <w:p w:rsidR="000F7E9A" w:rsidRPr="00740495" w:rsidRDefault="000F7E9A" w:rsidP="000F7E9A">
      <w:pPr>
        <w:jc w:val="both"/>
        <w:rPr>
          <w:lang w:eastAsia="ru-RU"/>
        </w:rPr>
      </w:pPr>
      <w:r w:rsidRPr="00740495">
        <w:rPr>
          <w:lang w:eastAsia="ru-RU"/>
        </w:rPr>
        <w:t>Государственный долг области и муниципальный долг муниципальных образований планируется: на 2015 год в сумме 18</w:t>
      </w:r>
      <w:r w:rsidR="006F3BB4" w:rsidRPr="00740495">
        <w:rPr>
          <w:lang w:eastAsia="ru-RU"/>
        </w:rPr>
        <w:t>,</w:t>
      </w:r>
      <w:r w:rsidR="00740495" w:rsidRPr="00740495">
        <w:rPr>
          <w:lang w:eastAsia="ru-RU"/>
        </w:rPr>
        <w:t>2</w:t>
      </w:r>
      <w:r w:rsidRPr="00740495">
        <w:rPr>
          <w:lang w:eastAsia="ru-RU"/>
        </w:rPr>
        <w:t xml:space="preserve"> </w:t>
      </w:r>
      <w:r w:rsidR="00740495">
        <w:rPr>
          <w:lang w:eastAsia="ru-RU"/>
        </w:rPr>
        <w:t>млрд.</w:t>
      </w:r>
      <w:r w:rsidRPr="00740495">
        <w:rPr>
          <w:lang w:eastAsia="ru-RU"/>
        </w:rPr>
        <w:t>рублей, на 20</w:t>
      </w:r>
      <w:r w:rsidR="00664480" w:rsidRPr="00740495">
        <w:rPr>
          <w:lang w:eastAsia="ru-RU"/>
        </w:rPr>
        <w:t>17 год –</w:t>
      </w:r>
      <w:r w:rsidR="00740495" w:rsidRPr="00740495">
        <w:rPr>
          <w:lang w:eastAsia="ru-RU"/>
        </w:rPr>
        <w:t>14</w:t>
      </w:r>
      <w:r w:rsidR="006F3BB4" w:rsidRPr="00740495">
        <w:rPr>
          <w:lang w:eastAsia="ru-RU"/>
        </w:rPr>
        <w:t>,2</w:t>
      </w:r>
      <w:r w:rsidR="00664480" w:rsidRPr="00740495">
        <w:rPr>
          <w:lang w:eastAsia="ru-RU"/>
        </w:rPr>
        <w:t xml:space="preserve"> </w:t>
      </w:r>
      <w:r w:rsidR="00740495">
        <w:rPr>
          <w:lang w:eastAsia="ru-RU"/>
        </w:rPr>
        <w:t>млрд.</w:t>
      </w:r>
      <w:r w:rsidR="00664480" w:rsidRPr="00740495">
        <w:rPr>
          <w:lang w:eastAsia="ru-RU"/>
        </w:rPr>
        <w:t>рублей.</w:t>
      </w:r>
    </w:p>
    <w:p w:rsidR="000F7E9A" w:rsidRPr="00740495" w:rsidRDefault="000F7E9A" w:rsidP="000F7E9A">
      <w:pPr>
        <w:jc w:val="both"/>
        <w:rPr>
          <w:lang w:eastAsia="ru-RU"/>
        </w:rPr>
      </w:pPr>
      <w:r w:rsidRPr="00740495">
        <w:rPr>
          <w:lang w:eastAsia="ru-RU"/>
        </w:rPr>
        <w:t>В целях обеспечения достижения задач, поставленных в указах Президента Российской Федерации от 7 мая 2012 года, в бюджете Новгородской области предусмотрено: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4"/>
        <w:gridCol w:w="823"/>
        <w:gridCol w:w="1276"/>
        <w:gridCol w:w="1275"/>
        <w:gridCol w:w="1296"/>
        <w:gridCol w:w="1313"/>
        <w:gridCol w:w="1184"/>
      </w:tblGrid>
      <w:tr w:rsidR="00740495" w:rsidRPr="00740495" w:rsidTr="00740495">
        <w:trPr>
          <w:tblHeader/>
        </w:trPr>
        <w:tc>
          <w:tcPr>
            <w:tcW w:w="2404" w:type="dxa"/>
            <w:shd w:val="clear" w:color="auto" w:fill="auto"/>
            <w:vAlign w:val="center"/>
          </w:tcPr>
          <w:p w:rsidR="00740495" w:rsidRPr="00740495" w:rsidRDefault="00740495" w:rsidP="00740495">
            <w:pPr>
              <w:spacing w:line="240" w:lineRule="exact"/>
              <w:ind w:firstLine="0"/>
              <w:jc w:val="center"/>
              <w:rPr>
                <w:b/>
                <w:sz w:val="24"/>
                <w:szCs w:val="24"/>
              </w:rPr>
            </w:pPr>
            <w:r w:rsidRPr="00740495">
              <w:rPr>
                <w:b/>
                <w:sz w:val="24"/>
                <w:szCs w:val="24"/>
              </w:rPr>
              <w:t>Объем расходов бюджета субъекта Российской Федерации</w:t>
            </w:r>
          </w:p>
        </w:tc>
        <w:tc>
          <w:tcPr>
            <w:tcW w:w="823" w:type="dxa"/>
            <w:vAlign w:val="center"/>
          </w:tcPr>
          <w:p w:rsidR="00740495" w:rsidRPr="00740495" w:rsidRDefault="00740495" w:rsidP="00740495">
            <w:pPr>
              <w:spacing w:line="240" w:lineRule="exact"/>
              <w:ind w:firstLine="0"/>
              <w:jc w:val="center"/>
              <w:rPr>
                <w:b/>
                <w:sz w:val="24"/>
                <w:szCs w:val="24"/>
              </w:rPr>
            </w:pPr>
            <w:r w:rsidRPr="00740495">
              <w:rPr>
                <w:b/>
                <w:sz w:val="24"/>
                <w:szCs w:val="24"/>
              </w:rPr>
              <w:t>2012</w:t>
            </w:r>
          </w:p>
        </w:tc>
        <w:tc>
          <w:tcPr>
            <w:tcW w:w="1276" w:type="dxa"/>
            <w:shd w:val="clear" w:color="auto" w:fill="auto"/>
            <w:vAlign w:val="center"/>
          </w:tcPr>
          <w:p w:rsidR="00740495" w:rsidRPr="00740495" w:rsidRDefault="00740495" w:rsidP="00740495">
            <w:pPr>
              <w:spacing w:line="240" w:lineRule="exact"/>
              <w:ind w:firstLine="0"/>
              <w:jc w:val="center"/>
              <w:rPr>
                <w:b/>
                <w:sz w:val="24"/>
                <w:szCs w:val="24"/>
              </w:rPr>
            </w:pPr>
            <w:r w:rsidRPr="00740495">
              <w:rPr>
                <w:b/>
                <w:sz w:val="24"/>
                <w:szCs w:val="24"/>
              </w:rPr>
              <w:t>2013</w:t>
            </w:r>
          </w:p>
        </w:tc>
        <w:tc>
          <w:tcPr>
            <w:tcW w:w="1275" w:type="dxa"/>
            <w:shd w:val="clear" w:color="auto" w:fill="auto"/>
            <w:vAlign w:val="center"/>
          </w:tcPr>
          <w:p w:rsidR="00740495" w:rsidRPr="00740495" w:rsidRDefault="00740495" w:rsidP="00740495">
            <w:pPr>
              <w:spacing w:line="240" w:lineRule="exact"/>
              <w:ind w:firstLine="0"/>
              <w:jc w:val="center"/>
              <w:rPr>
                <w:b/>
                <w:sz w:val="24"/>
                <w:szCs w:val="24"/>
              </w:rPr>
            </w:pPr>
            <w:r w:rsidRPr="00740495">
              <w:rPr>
                <w:b/>
                <w:sz w:val="24"/>
                <w:szCs w:val="24"/>
              </w:rPr>
              <w:t>2014</w:t>
            </w:r>
          </w:p>
        </w:tc>
        <w:tc>
          <w:tcPr>
            <w:tcW w:w="1296" w:type="dxa"/>
            <w:shd w:val="clear" w:color="auto" w:fill="auto"/>
            <w:vAlign w:val="center"/>
          </w:tcPr>
          <w:p w:rsidR="00740495" w:rsidRPr="00740495" w:rsidRDefault="00740495" w:rsidP="00740495">
            <w:pPr>
              <w:spacing w:line="240" w:lineRule="exact"/>
              <w:ind w:firstLine="0"/>
              <w:jc w:val="center"/>
              <w:rPr>
                <w:b/>
                <w:sz w:val="24"/>
                <w:szCs w:val="24"/>
              </w:rPr>
            </w:pPr>
            <w:r w:rsidRPr="00740495">
              <w:rPr>
                <w:b/>
                <w:sz w:val="24"/>
                <w:szCs w:val="24"/>
              </w:rPr>
              <w:t>2015</w:t>
            </w:r>
          </w:p>
        </w:tc>
        <w:tc>
          <w:tcPr>
            <w:tcW w:w="1313" w:type="dxa"/>
            <w:shd w:val="clear" w:color="auto" w:fill="auto"/>
            <w:vAlign w:val="center"/>
          </w:tcPr>
          <w:p w:rsidR="00740495" w:rsidRPr="00740495" w:rsidRDefault="00740495" w:rsidP="00740495">
            <w:pPr>
              <w:spacing w:line="240" w:lineRule="exact"/>
              <w:ind w:firstLine="0"/>
              <w:jc w:val="center"/>
              <w:rPr>
                <w:b/>
                <w:sz w:val="24"/>
                <w:szCs w:val="24"/>
              </w:rPr>
            </w:pPr>
            <w:r w:rsidRPr="00740495">
              <w:rPr>
                <w:b/>
                <w:sz w:val="24"/>
                <w:szCs w:val="24"/>
              </w:rPr>
              <w:t>2016</w:t>
            </w:r>
          </w:p>
        </w:tc>
        <w:tc>
          <w:tcPr>
            <w:tcW w:w="1184" w:type="dxa"/>
            <w:shd w:val="clear" w:color="auto" w:fill="auto"/>
            <w:vAlign w:val="center"/>
          </w:tcPr>
          <w:p w:rsidR="00740495" w:rsidRPr="00740495" w:rsidRDefault="00740495" w:rsidP="00740495">
            <w:pPr>
              <w:spacing w:line="240" w:lineRule="exact"/>
              <w:ind w:firstLine="0"/>
              <w:jc w:val="center"/>
              <w:rPr>
                <w:b/>
                <w:sz w:val="24"/>
                <w:szCs w:val="24"/>
              </w:rPr>
            </w:pPr>
            <w:r w:rsidRPr="00740495">
              <w:rPr>
                <w:b/>
                <w:sz w:val="24"/>
                <w:szCs w:val="24"/>
              </w:rPr>
              <w:t>2017</w:t>
            </w:r>
          </w:p>
        </w:tc>
      </w:tr>
      <w:tr w:rsidR="00740495" w:rsidRPr="00740495" w:rsidTr="00740495">
        <w:tc>
          <w:tcPr>
            <w:tcW w:w="2404" w:type="dxa"/>
            <w:shd w:val="clear" w:color="auto" w:fill="auto"/>
          </w:tcPr>
          <w:p w:rsidR="00740495" w:rsidRPr="00740495" w:rsidRDefault="00740495" w:rsidP="00740495">
            <w:pPr>
              <w:spacing w:line="240" w:lineRule="exact"/>
              <w:ind w:firstLine="0"/>
              <w:jc w:val="both"/>
              <w:rPr>
                <w:sz w:val="24"/>
                <w:szCs w:val="24"/>
              </w:rPr>
            </w:pPr>
            <w:r w:rsidRPr="00740495">
              <w:rPr>
                <w:sz w:val="24"/>
                <w:szCs w:val="24"/>
              </w:rPr>
              <w:t>Всего на реализацию указов Президента Российской Федерации от 7 мая 2012 г.</w:t>
            </w:r>
          </w:p>
        </w:tc>
        <w:tc>
          <w:tcPr>
            <w:tcW w:w="823" w:type="dxa"/>
            <w:vAlign w:val="center"/>
          </w:tcPr>
          <w:p w:rsidR="00740495" w:rsidRPr="00740495" w:rsidRDefault="00740495" w:rsidP="00740495">
            <w:pPr>
              <w:spacing w:line="240" w:lineRule="exact"/>
              <w:ind w:firstLine="0"/>
              <w:jc w:val="center"/>
              <w:rPr>
                <w:sz w:val="24"/>
                <w:szCs w:val="24"/>
              </w:rPr>
            </w:pPr>
          </w:p>
        </w:tc>
        <w:tc>
          <w:tcPr>
            <w:tcW w:w="1276" w:type="dxa"/>
            <w:shd w:val="clear" w:color="auto" w:fill="auto"/>
            <w:vAlign w:val="center"/>
          </w:tcPr>
          <w:p w:rsidR="00740495" w:rsidRPr="00740495" w:rsidRDefault="00740495" w:rsidP="00740495">
            <w:pPr>
              <w:spacing w:line="240" w:lineRule="exact"/>
              <w:ind w:firstLine="0"/>
              <w:jc w:val="center"/>
              <w:rPr>
                <w:sz w:val="24"/>
                <w:szCs w:val="24"/>
              </w:rPr>
            </w:pPr>
          </w:p>
        </w:tc>
        <w:tc>
          <w:tcPr>
            <w:tcW w:w="1275" w:type="dxa"/>
            <w:shd w:val="clear" w:color="auto" w:fill="auto"/>
            <w:vAlign w:val="center"/>
          </w:tcPr>
          <w:p w:rsidR="00740495" w:rsidRPr="00740495" w:rsidRDefault="00740495" w:rsidP="00740495">
            <w:pPr>
              <w:spacing w:line="240" w:lineRule="exact"/>
              <w:ind w:firstLine="0"/>
              <w:jc w:val="center"/>
              <w:rPr>
                <w:sz w:val="24"/>
                <w:szCs w:val="24"/>
              </w:rPr>
            </w:pPr>
          </w:p>
        </w:tc>
        <w:tc>
          <w:tcPr>
            <w:tcW w:w="1296" w:type="dxa"/>
            <w:shd w:val="clear" w:color="auto" w:fill="auto"/>
            <w:vAlign w:val="center"/>
          </w:tcPr>
          <w:p w:rsidR="00740495" w:rsidRPr="00740495" w:rsidRDefault="00740495" w:rsidP="00740495">
            <w:pPr>
              <w:spacing w:line="240" w:lineRule="exact"/>
              <w:ind w:firstLine="0"/>
              <w:jc w:val="center"/>
              <w:rPr>
                <w:sz w:val="24"/>
                <w:szCs w:val="24"/>
              </w:rPr>
            </w:pPr>
          </w:p>
        </w:tc>
        <w:tc>
          <w:tcPr>
            <w:tcW w:w="1313" w:type="dxa"/>
            <w:shd w:val="clear" w:color="auto" w:fill="auto"/>
            <w:vAlign w:val="center"/>
          </w:tcPr>
          <w:p w:rsidR="00740495" w:rsidRPr="00740495" w:rsidRDefault="00740495" w:rsidP="00740495">
            <w:pPr>
              <w:spacing w:line="240" w:lineRule="exact"/>
              <w:ind w:firstLine="0"/>
              <w:jc w:val="center"/>
              <w:rPr>
                <w:sz w:val="24"/>
                <w:szCs w:val="24"/>
              </w:rPr>
            </w:pPr>
          </w:p>
        </w:tc>
        <w:tc>
          <w:tcPr>
            <w:tcW w:w="1184" w:type="dxa"/>
            <w:shd w:val="clear" w:color="auto" w:fill="auto"/>
            <w:vAlign w:val="center"/>
          </w:tcPr>
          <w:p w:rsidR="00740495" w:rsidRPr="00740495" w:rsidRDefault="00740495" w:rsidP="00740495">
            <w:pPr>
              <w:spacing w:line="240" w:lineRule="exact"/>
              <w:ind w:firstLine="0"/>
              <w:jc w:val="center"/>
              <w:rPr>
                <w:sz w:val="24"/>
                <w:szCs w:val="24"/>
              </w:rPr>
            </w:pPr>
          </w:p>
        </w:tc>
      </w:tr>
      <w:tr w:rsidR="00740495" w:rsidRPr="00740495" w:rsidTr="00740495">
        <w:tc>
          <w:tcPr>
            <w:tcW w:w="2404" w:type="dxa"/>
            <w:shd w:val="clear" w:color="auto" w:fill="auto"/>
          </w:tcPr>
          <w:p w:rsidR="00740495" w:rsidRPr="00740495" w:rsidRDefault="00740495" w:rsidP="00740495">
            <w:pPr>
              <w:spacing w:line="240" w:lineRule="exact"/>
              <w:ind w:firstLine="0"/>
              <w:jc w:val="both"/>
              <w:rPr>
                <w:sz w:val="24"/>
                <w:szCs w:val="24"/>
              </w:rPr>
            </w:pPr>
            <w:r w:rsidRPr="00740495">
              <w:rPr>
                <w:sz w:val="24"/>
                <w:szCs w:val="24"/>
              </w:rPr>
              <w:t>№ 596-606, тыс. рублей</w:t>
            </w:r>
          </w:p>
        </w:tc>
        <w:tc>
          <w:tcPr>
            <w:tcW w:w="823" w:type="dxa"/>
            <w:vAlign w:val="center"/>
          </w:tcPr>
          <w:p w:rsidR="00740495" w:rsidRPr="00740495" w:rsidRDefault="00740495" w:rsidP="00740495">
            <w:pPr>
              <w:spacing w:line="240" w:lineRule="exact"/>
              <w:ind w:firstLine="0"/>
              <w:jc w:val="center"/>
              <w:rPr>
                <w:sz w:val="24"/>
                <w:szCs w:val="24"/>
              </w:rPr>
            </w:pPr>
            <w:r w:rsidRPr="00740495">
              <w:rPr>
                <w:sz w:val="24"/>
                <w:szCs w:val="24"/>
              </w:rPr>
              <w:t>-</w:t>
            </w:r>
          </w:p>
        </w:tc>
        <w:tc>
          <w:tcPr>
            <w:tcW w:w="1276" w:type="dxa"/>
            <w:shd w:val="clear" w:color="auto" w:fill="auto"/>
            <w:vAlign w:val="center"/>
          </w:tcPr>
          <w:p w:rsidR="00740495" w:rsidRPr="00740495" w:rsidRDefault="00740495" w:rsidP="00740495">
            <w:pPr>
              <w:spacing w:line="240" w:lineRule="exact"/>
              <w:ind w:firstLine="0"/>
              <w:jc w:val="center"/>
              <w:rPr>
                <w:sz w:val="24"/>
                <w:szCs w:val="24"/>
              </w:rPr>
            </w:pPr>
            <w:r w:rsidRPr="00740495">
              <w:rPr>
                <w:sz w:val="24"/>
                <w:szCs w:val="24"/>
              </w:rPr>
              <w:t>2852590,2</w:t>
            </w:r>
          </w:p>
        </w:tc>
        <w:tc>
          <w:tcPr>
            <w:tcW w:w="1275" w:type="dxa"/>
            <w:shd w:val="clear" w:color="auto" w:fill="auto"/>
            <w:vAlign w:val="center"/>
          </w:tcPr>
          <w:p w:rsidR="00740495" w:rsidRPr="00740495" w:rsidRDefault="00740495" w:rsidP="00740495">
            <w:pPr>
              <w:spacing w:line="240" w:lineRule="exact"/>
              <w:ind w:firstLine="0"/>
              <w:jc w:val="center"/>
              <w:rPr>
                <w:sz w:val="24"/>
                <w:szCs w:val="24"/>
              </w:rPr>
            </w:pPr>
            <w:r w:rsidRPr="00740495">
              <w:rPr>
                <w:sz w:val="24"/>
                <w:szCs w:val="24"/>
              </w:rPr>
              <w:t>2447557,6</w:t>
            </w:r>
          </w:p>
        </w:tc>
        <w:tc>
          <w:tcPr>
            <w:tcW w:w="1296" w:type="dxa"/>
            <w:shd w:val="clear" w:color="auto" w:fill="auto"/>
            <w:vAlign w:val="center"/>
          </w:tcPr>
          <w:p w:rsidR="00740495" w:rsidRPr="00740495" w:rsidRDefault="00740495" w:rsidP="00740495">
            <w:pPr>
              <w:spacing w:line="240" w:lineRule="exact"/>
              <w:ind w:firstLine="0"/>
              <w:jc w:val="center"/>
              <w:rPr>
                <w:sz w:val="24"/>
                <w:szCs w:val="24"/>
              </w:rPr>
            </w:pPr>
            <w:r w:rsidRPr="00740495">
              <w:rPr>
                <w:sz w:val="24"/>
                <w:szCs w:val="24"/>
              </w:rPr>
              <w:t>1578274,3</w:t>
            </w:r>
          </w:p>
        </w:tc>
        <w:tc>
          <w:tcPr>
            <w:tcW w:w="1313" w:type="dxa"/>
            <w:shd w:val="clear" w:color="auto" w:fill="auto"/>
            <w:vAlign w:val="center"/>
          </w:tcPr>
          <w:p w:rsidR="00740495" w:rsidRPr="00740495" w:rsidRDefault="00740495" w:rsidP="00740495">
            <w:pPr>
              <w:spacing w:line="240" w:lineRule="exact"/>
              <w:ind w:firstLine="0"/>
              <w:jc w:val="center"/>
              <w:rPr>
                <w:sz w:val="24"/>
                <w:szCs w:val="24"/>
              </w:rPr>
            </w:pPr>
            <w:r w:rsidRPr="00740495">
              <w:rPr>
                <w:sz w:val="24"/>
                <w:szCs w:val="24"/>
              </w:rPr>
              <w:t>1381881,7</w:t>
            </w:r>
          </w:p>
        </w:tc>
        <w:tc>
          <w:tcPr>
            <w:tcW w:w="1184" w:type="dxa"/>
            <w:shd w:val="clear" w:color="auto" w:fill="auto"/>
            <w:vAlign w:val="center"/>
          </w:tcPr>
          <w:p w:rsidR="00740495" w:rsidRPr="00740495" w:rsidRDefault="00740495" w:rsidP="00740495">
            <w:pPr>
              <w:spacing w:line="240" w:lineRule="exact"/>
              <w:ind w:firstLine="0"/>
              <w:jc w:val="center"/>
              <w:rPr>
                <w:sz w:val="24"/>
                <w:szCs w:val="24"/>
              </w:rPr>
            </w:pPr>
            <w:r w:rsidRPr="00740495">
              <w:rPr>
                <w:sz w:val="24"/>
                <w:szCs w:val="24"/>
              </w:rPr>
              <w:t>1156564</w:t>
            </w:r>
          </w:p>
        </w:tc>
      </w:tr>
      <w:tr w:rsidR="00740495" w:rsidRPr="00740495" w:rsidTr="00740495">
        <w:tc>
          <w:tcPr>
            <w:tcW w:w="2404" w:type="dxa"/>
            <w:shd w:val="clear" w:color="auto" w:fill="auto"/>
          </w:tcPr>
          <w:p w:rsidR="00740495" w:rsidRPr="00740495" w:rsidRDefault="00740495" w:rsidP="00740495">
            <w:pPr>
              <w:spacing w:line="240" w:lineRule="exact"/>
              <w:ind w:firstLine="0"/>
              <w:jc w:val="both"/>
              <w:rPr>
                <w:sz w:val="24"/>
                <w:szCs w:val="24"/>
              </w:rPr>
            </w:pPr>
            <w:r w:rsidRPr="00740495">
              <w:rPr>
                <w:sz w:val="24"/>
                <w:szCs w:val="24"/>
              </w:rPr>
              <w:t>Объем расходов по Указу № 596</w:t>
            </w:r>
          </w:p>
        </w:tc>
        <w:tc>
          <w:tcPr>
            <w:tcW w:w="823" w:type="dxa"/>
            <w:vAlign w:val="center"/>
          </w:tcPr>
          <w:p w:rsidR="00740495" w:rsidRPr="00740495" w:rsidRDefault="00740495" w:rsidP="00740495">
            <w:pPr>
              <w:spacing w:line="240" w:lineRule="exact"/>
              <w:ind w:firstLine="0"/>
              <w:jc w:val="center"/>
              <w:rPr>
                <w:sz w:val="24"/>
                <w:szCs w:val="24"/>
              </w:rPr>
            </w:pPr>
          </w:p>
        </w:tc>
        <w:tc>
          <w:tcPr>
            <w:tcW w:w="1276" w:type="dxa"/>
            <w:shd w:val="clear" w:color="auto" w:fill="auto"/>
            <w:vAlign w:val="center"/>
          </w:tcPr>
          <w:p w:rsidR="00740495" w:rsidRPr="00740495" w:rsidRDefault="00740495" w:rsidP="00740495">
            <w:pPr>
              <w:spacing w:line="240" w:lineRule="exact"/>
              <w:ind w:firstLine="0"/>
              <w:jc w:val="center"/>
              <w:rPr>
                <w:sz w:val="24"/>
                <w:szCs w:val="24"/>
              </w:rPr>
            </w:pPr>
          </w:p>
        </w:tc>
        <w:tc>
          <w:tcPr>
            <w:tcW w:w="1275" w:type="dxa"/>
            <w:shd w:val="clear" w:color="auto" w:fill="auto"/>
            <w:vAlign w:val="center"/>
          </w:tcPr>
          <w:p w:rsidR="00740495" w:rsidRPr="00740495" w:rsidRDefault="00740495" w:rsidP="00740495">
            <w:pPr>
              <w:spacing w:line="240" w:lineRule="exact"/>
              <w:ind w:firstLine="0"/>
              <w:jc w:val="center"/>
              <w:rPr>
                <w:sz w:val="24"/>
                <w:szCs w:val="24"/>
              </w:rPr>
            </w:pPr>
          </w:p>
        </w:tc>
        <w:tc>
          <w:tcPr>
            <w:tcW w:w="1296" w:type="dxa"/>
            <w:shd w:val="clear" w:color="auto" w:fill="auto"/>
            <w:vAlign w:val="center"/>
          </w:tcPr>
          <w:p w:rsidR="00740495" w:rsidRPr="00740495" w:rsidRDefault="00740495" w:rsidP="00740495">
            <w:pPr>
              <w:spacing w:line="240" w:lineRule="exact"/>
              <w:ind w:firstLine="0"/>
              <w:jc w:val="center"/>
              <w:rPr>
                <w:sz w:val="24"/>
                <w:szCs w:val="24"/>
              </w:rPr>
            </w:pPr>
          </w:p>
        </w:tc>
        <w:tc>
          <w:tcPr>
            <w:tcW w:w="1313" w:type="dxa"/>
            <w:shd w:val="clear" w:color="auto" w:fill="auto"/>
            <w:vAlign w:val="center"/>
          </w:tcPr>
          <w:p w:rsidR="00740495" w:rsidRPr="00740495" w:rsidRDefault="00740495" w:rsidP="00740495">
            <w:pPr>
              <w:spacing w:line="240" w:lineRule="exact"/>
              <w:ind w:firstLine="0"/>
              <w:jc w:val="center"/>
              <w:rPr>
                <w:sz w:val="24"/>
                <w:szCs w:val="24"/>
              </w:rPr>
            </w:pPr>
          </w:p>
        </w:tc>
        <w:tc>
          <w:tcPr>
            <w:tcW w:w="1184" w:type="dxa"/>
            <w:shd w:val="clear" w:color="auto" w:fill="auto"/>
            <w:vAlign w:val="center"/>
          </w:tcPr>
          <w:p w:rsidR="00740495" w:rsidRPr="00740495" w:rsidRDefault="00740495" w:rsidP="00740495">
            <w:pPr>
              <w:spacing w:line="240" w:lineRule="exact"/>
              <w:ind w:firstLine="0"/>
              <w:jc w:val="center"/>
              <w:rPr>
                <w:sz w:val="24"/>
                <w:szCs w:val="24"/>
              </w:rPr>
            </w:pPr>
          </w:p>
        </w:tc>
      </w:tr>
      <w:tr w:rsidR="00740495" w:rsidRPr="00740495" w:rsidTr="00740495">
        <w:tc>
          <w:tcPr>
            <w:tcW w:w="2404" w:type="dxa"/>
            <w:shd w:val="clear" w:color="auto" w:fill="auto"/>
          </w:tcPr>
          <w:p w:rsidR="00740495" w:rsidRPr="00740495" w:rsidRDefault="00740495" w:rsidP="00740495">
            <w:pPr>
              <w:spacing w:line="240" w:lineRule="exact"/>
              <w:ind w:firstLine="0"/>
              <w:jc w:val="both"/>
              <w:rPr>
                <w:sz w:val="24"/>
                <w:szCs w:val="24"/>
              </w:rPr>
            </w:pPr>
            <w:r w:rsidRPr="00740495">
              <w:rPr>
                <w:sz w:val="24"/>
                <w:szCs w:val="24"/>
              </w:rPr>
              <w:t>«О долгосрочной государственной экономической политике», тыс. рублей</w:t>
            </w:r>
          </w:p>
        </w:tc>
        <w:tc>
          <w:tcPr>
            <w:tcW w:w="823" w:type="dxa"/>
            <w:vAlign w:val="center"/>
          </w:tcPr>
          <w:p w:rsidR="00740495" w:rsidRPr="00740495" w:rsidRDefault="00740495" w:rsidP="00740495">
            <w:pPr>
              <w:spacing w:line="240" w:lineRule="exact"/>
              <w:ind w:firstLine="0"/>
              <w:jc w:val="center"/>
              <w:rPr>
                <w:sz w:val="24"/>
                <w:szCs w:val="24"/>
              </w:rPr>
            </w:pPr>
            <w:r w:rsidRPr="00740495">
              <w:rPr>
                <w:sz w:val="24"/>
                <w:szCs w:val="24"/>
              </w:rPr>
              <w:t>-</w:t>
            </w:r>
          </w:p>
        </w:tc>
        <w:tc>
          <w:tcPr>
            <w:tcW w:w="1276" w:type="dxa"/>
            <w:shd w:val="clear" w:color="auto" w:fill="auto"/>
            <w:vAlign w:val="center"/>
          </w:tcPr>
          <w:p w:rsidR="00740495" w:rsidRPr="00740495" w:rsidRDefault="00740495" w:rsidP="00740495">
            <w:pPr>
              <w:spacing w:line="240" w:lineRule="exact"/>
              <w:ind w:firstLine="0"/>
              <w:jc w:val="center"/>
              <w:rPr>
                <w:sz w:val="24"/>
                <w:szCs w:val="24"/>
              </w:rPr>
            </w:pPr>
            <w:r w:rsidRPr="00740495">
              <w:rPr>
                <w:sz w:val="24"/>
                <w:szCs w:val="24"/>
              </w:rPr>
              <w:t>23754,5</w:t>
            </w:r>
          </w:p>
        </w:tc>
        <w:tc>
          <w:tcPr>
            <w:tcW w:w="1275" w:type="dxa"/>
            <w:shd w:val="clear" w:color="auto" w:fill="auto"/>
            <w:vAlign w:val="center"/>
          </w:tcPr>
          <w:p w:rsidR="00740495" w:rsidRPr="00740495" w:rsidRDefault="00740495" w:rsidP="00740495">
            <w:pPr>
              <w:spacing w:line="240" w:lineRule="exact"/>
              <w:ind w:firstLine="0"/>
              <w:jc w:val="center"/>
              <w:rPr>
                <w:sz w:val="24"/>
                <w:szCs w:val="24"/>
              </w:rPr>
            </w:pPr>
            <w:r w:rsidRPr="00740495">
              <w:rPr>
                <w:sz w:val="24"/>
                <w:szCs w:val="24"/>
              </w:rPr>
              <w:t>21880,1</w:t>
            </w:r>
          </w:p>
        </w:tc>
        <w:tc>
          <w:tcPr>
            <w:tcW w:w="1296" w:type="dxa"/>
            <w:shd w:val="clear" w:color="auto" w:fill="auto"/>
            <w:vAlign w:val="center"/>
          </w:tcPr>
          <w:p w:rsidR="00740495" w:rsidRPr="00740495" w:rsidRDefault="00740495" w:rsidP="00740495">
            <w:pPr>
              <w:spacing w:line="240" w:lineRule="exact"/>
              <w:ind w:firstLine="0"/>
              <w:jc w:val="center"/>
              <w:rPr>
                <w:sz w:val="24"/>
                <w:szCs w:val="24"/>
              </w:rPr>
            </w:pPr>
            <w:r w:rsidRPr="00740495">
              <w:rPr>
                <w:sz w:val="24"/>
                <w:szCs w:val="24"/>
              </w:rPr>
              <w:t>22479,8</w:t>
            </w:r>
          </w:p>
        </w:tc>
        <w:tc>
          <w:tcPr>
            <w:tcW w:w="1313" w:type="dxa"/>
            <w:shd w:val="clear" w:color="auto" w:fill="auto"/>
            <w:vAlign w:val="center"/>
          </w:tcPr>
          <w:p w:rsidR="00740495" w:rsidRPr="00740495" w:rsidRDefault="00740495" w:rsidP="00740495">
            <w:pPr>
              <w:spacing w:line="240" w:lineRule="exact"/>
              <w:ind w:firstLine="0"/>
              <w:jc w:val="center"/>
              <w:rPr>
                <w:sz w:val="24"/>
                <w:szCs w:val="24"/>
              </w:rPr>
            </w:pPr>
            <w:r w:rsidRPr="00740495">
              <w:rPr>
                <w:sz w:val="24"/>
                <w:szCs w:val="24"/>
              </w:rPr>
              <w:t>22540,4</w:t>
            </w:r>
          </w:p>
        </w:tc>
        <w:tc>
          <w:tcPr>
            <w:tcW w:w="1184" w:type="dxa"/>
            <w:shd w:val="clear" w:color="auto" w:fill="auto"/>
            <w:vAlign w:val="center"/>
          </w:tcPr>
          <w:p w:rsidR="00740495" w:rsidRPr="00740495" w:rsidRDefault="00740495" w:rsidP="00740495">
            <w:pPr>
              <w:spacing w:line="240" w:lineRule="exact"/>
              <w:ind w:firstLine="0"/>
              <w:jc w:val="center"/>
              <w:rPr>
                <w:sz w:val="24"/>
                <w:szCs w:val="24"/>
              </w:rPr>
            </w:pPr>
            <w:r w:rsidRPr="00740495">
              <w:rPr>
                <w:sz w:val="24"/>
                <w:szCs w:val="24"/>
              </w:rPr>
              <w:t>22540,4</w:t>
            </w:r>
          </w:p>
        </w:tc>
      </w:tr>
      <w:tr w:rsidR="00740495" w:rsidRPr="00740495" w:rsidTr="00740495">
        <w:tc>
          <w:tcPr>
            <w:tcW w:w="2404" w:type="dxa"/>
            <w:shd w:val="clear" w:color="auto" w:fill="auto"/>
          </w:tcPr>
          <w:p w:rsidR="00740495" w:rsidRPr="00740495" w:rsidRDefault="00740495" w:rsidP="00740495">
            <w:pPr>
              <w:spacing w:line="240" w:lineRule="exact"/>
              <w:ind w:firstLine="0"/>
              <w:jc w:val="both"/>
              <w:rPr>
                <w:sz w:val="24"/>
                <w:szCs w:val="24"/>
              </w:rPr>
            </w:pPr>
            <w:r w:rsidRPr="00740495">
              <w:rPr>
                <w:sz w:val="24"/>
                <w:szCs w:val="24"/>
              </w:rPr>
              <w:t>Объем расходов по Указу № 597</w:t>
            </w:r>
          </w:p>
        </w:tc>
        <w:tc>
          <w:tcPr>
            <w:tcW w:w="823" w:type="dxa"/>
            <w:vAlign w:val="center"/>
          </w:tcPr>
          <w:p w:rsidR="00740495" w:rsidRPr="00740495" w:rsidRDefault="00740495" w:rsidP="00740495">
            <w:pPr>
              <w:spacing w:line="240" w:lineRule="exact"/>
              <w:ind w:firstLine="0"/>
              <w:jc w:val="center"/>
              <w:rPr>
                <w:sz w:val="24"/>
                <w:szCs w:val="24"/>
              </w:rPr>
            </w:pPr>
          </w:p>
        </w:tc>
        <w:tc>
          <w:tcPr>
            <w:tcW w:w="1276" w:type="dxa"/>
            <w:shd w:val="clear" w:color="auto" w:fill="auto"/>
            <w:vAlign w:val="center"/>
          </w:tcPr>
          <w:p w:rsidR="00740495" w:rsidRPr="00740495" w:rsidRDefault="00740495" w:rsidP="00740495">
            <w:pPr>
              <w:spacing w:line="240" w:lineRule="exact"/>
              <w:ind w:firstLine="0"/>
              <w:jc w:val="center"/>
              <w:rPr>
                <w:sz w:val="24"/>
                <w:szCs w:val="24"/>
              </w:rPr>
            </w:pPr>
          </w:p>
        </w:tc>
        <w:tc>
          <w:tcPr>
            <w:tcW w:w="1275" w:type="dxa"/>
            <w:shd w:val="clear" w:color="auto" w:fill="auto"/>
            <w:vAlign w:val="center"/>
          </w:tcPr>
          <w:p w:rsidR="00740495" w:rsidRPr="00740495" w:rsidRDefault="00740495" w:rsidP="00740495">
            <w:pPr>
              <w:spacing w:line="240" w:lineRule="exact"/>
              <w:ind w:firstLine="0"/>
              <w:jc w:val="center"/>
              <w:rPr>
                <w:sz w:val="24"/>
                <w:szCs w:val="24"/>
              </w:rPr>
            </w:pPr>
          </w:p>
        </w:tc>
        <w:tc>
          <w:tcPr>
            <w:tcW w:w="1296" w:type="dxa"/>
            <w:shd w:val="clear" w:color="auto" w:fill="auto"/>
            <w:vAlign w:val="center"/>
          </w:tcPr>
          <w:p w:rsidR="00740495" w:rsidRPr="00740495" w:rsidRDefault="00740495" w:rsidP="00740495">
            <w:pPr>
              <w:spacing w:line="240" w:lineRule="exact"/>
              <w:ind w:firstLine="0"/>
              <w:jc w:val="center"/>
              <w:rPr>
                <w:sz w:val="24"/>
                <w:szCs w:val="24"/>
              </w:rPr>
            </w:pPr>
          </w:p>
        </w:tc>
        <w:tc>
          <w:tcPr>
            <w:tcW w:w="1313" w:type="dxa"/>
            <w:shd w:val="clear" w:color="auto" w:fill="auto"/>
            <w:vAlign w:val="center"/>
          </w:tcPr>
          <w:p w:rsidR="00740495" w:rsidRPr="00740495" w:rsidRDefault="00740495" w:rsidP="00740495">
            <w:pPr>
              <w:spacing w:line="240" w:lineRule="exact"/>
              <w:ind w:firstLine="0"/>
              <w:jc w:val="center"/>
              <w:rPr>
                <w:sz w:val="24"/>
                <w:szCs w:val="24"/>
              </w:rPr>
            </w:pPr>
          </w:p>
        </w:tc>
        <w:tc>
          <w:tcPr>
            <w:tcW w:w="1184" w:type="dxa"/>
            <w:shd w:val="clear" w:color="auto" w:fill="auto"/>
            <w:vAlign w:val="center"/>
          </w:tcPr>
          <w:p w:rsidR="00740495" w:rsidRPr="00740495" w:rsidRDefault="00740495" w:rsidP="00740495">
            <w:pPr>
              <w:spacing w:line="240" w:lineRule="exact"/>
              <w:ind w:firstLine="0"/>
              <w:jc w:val="center"/>
              <w:rPr>
                <w:sz w:val="24"/>
                <w:szCs w:val="24"/>
              </w:rPr>
            </w:pPr>
          </w:p>
        </w:tc>
      </w:tr>
      <w:tr w:rsidR="00740495" w:rsidRPr="00740495" w:rsidTr="00740495">
        <w:tc>
          <w:tcPr>
            <w:tcW w:w="2404" w:type="dxa"/>
            <w:shd w:val="clear" w:color="auto" w:fill="auto"/>
          </w:tcPr>
          <w:p w:rsidR="00740495" w:rsidRPr="00740495" w:rsidRDefault="00740495" w:rsidP="00740495">
            <w:pPr>
              <w:spacing w:line="240" w:lineRule="exact"/>
              <w:ind w:firstLine="0"/>
              <w:jc w:val="both"/>
              <w:rPr>
                <w:sz w:val="24"/>
                <w:szCs w:val="24"/>
              </w:rPr>
            </w:pPr>
            <w:r w:rsidRPr="00740495">
              <w:rPr>
                <w:sz w:val="24"/>
                <w:szCs w:val="24"/>
              </w:rPr>
              <w:t>«О мерах по реализации государственной социальной политики», тыс. рублей</w:t>
            </w:r>
          </w:p>
        </w:tc>
        <w:tc>
          <w:tcPr>
            <w:tcW w:w="823" w:type="dxa"/>
            <w:vAlign w:val="center"/>
          </w:tcPr>
          <w:p w:rsidR="00740495" w:rsidRPr="00740495" w:rsidRDefault="00740495" w:rsidP="00740495">
            <w:pPr>
              <w:spacing w:line="240" w:lineRule="exact"/>
              <w:ind w:firstLine="0"/>
              <w:jc w:val="center"/>
              <w:rPr>
                <w:sz w:val="24"/>
                <w:szCs w:val="24"/>
              </w:rPr>
            </w:pPr>
            <w:r w:rsidRPr="00740495">
              <w:rPr>
                <w:sz w:val="24"/>
                <w:szCs w:val="24"/>
              </w:rPr>
              <w:t>-</w:t>
            </w:r>
          </w:p>
        </w:tc>
        <w:tc>
          <w:tcPr>
            <w:tcW w:w="1276" w:type="dxa"/>
            <w:shd w:val="clear" w:color="auto" w:fill="auto"/>
            <w:vAlign w:val="center"/>
          </w:tcPr>
          <w:p w:rsidR="00740495" w:rsidRPr="00740495" w:rsidRDefault="00740495" w:rsidP="00740495">
            <w:pPr>
              <w:spacing w:line="240" w:lineRule="exact"/>
              <w:ind w:firstLine="0"/>
              <w:jc w:val="center"/>
              <w:rPr>
                <w:sz w:val="24"/>
                <w:szCs w:val="24"/>
              </w:rPr>
            </w:pPr>
            <w:r w:rsidRPr="00740495">
              <w:rPr>
                <w:sz w:val="24"/>
                <w:szCs w:val="24"/>
              </w:rPr>
              <w:t>963944,2</w:t>
            </w:r>
          </w:p>
        </w:tc>
        <w:tc>
          <w:tcPr>
            <w:tcW w:w="1275" w:type="dxa"/>
            <w:shd w:val="clear" w:color="auto" w:fill="auto"/>
            <w:vAlign w:val="center"/>
          </w:tcPr>
          <w:p w:rsidR="00740495" w:rsidRPr="00740495" w:rsidRDefault="00740495" w:rsidP="00740495">
            <w:pPr>
              <w:spacing w:line="240" w:lineRule="exact"/>
              <w:ind w:firstLine="0"/>
              <w:jc w:val="center"/>
              <w:rPr>
                <w:sz w:val="24"/>
                <w:szCs w:val="24"/>
              </w:rPr>
            </w:pPr>
            <w:r w:rsidRPr="00740495">
              <w:rPr>
                <w:sz w:val="24"/>
                <w:szCs w:val="24"/>
              </w:rPr>
              <w:t>680823,8</w:t>
            </w:r>
          </w:p>
        </w:tc>
        <w:tc>
          <w:tcPr>
            <w:tcW w:w="1296" w:type="dxa"/>
            <w:shd w:val="clear" w:color="auto" w:fill="auto"/>
            <w:vAlign w:val="center"/>
          </w:tcPr>
          <w:p w:rsidR="00740495" w:rsidRPr="00740495" w:rsidRDefault="00740495" w:rsidP="00740495">
            <w:pPr>
              <w:spacing w:line="240" w:lineRule="exact"/>
              <w:ind w:firstLine="0"/>
              <w:jc w:val="center"/>
              <w:rPr>
                <w:sz w:val="24"/>
                <w:szCs w:val="24"/>
              </w:rPr>
            </w:pPr>
            <w:r w:rsidRPr="00740495">
              <w:rPr>
                <w:sz w:val="24"/>
                <w:szCs w:val="24"/>
              </w:rPr>
              <w:t>294919,1</w:t>
            </w:r>
          </w:p>
        </w:tc>
        <w:tc>
          <w:tcPr>
            <w:tcW w:w="1313" w:type="dxa"/>
            <w:shd w:val="clear" w:color="auto" w:fill="auto"/>
            <w:vAlign w:val="center"/>
          </w:tcPr>
          <w:p w:rsidR="00740495" w:rsidRPr="00740495" w:rsidRDefault="00740495" w:rsidP="00740495">
            <w:pPr>
              <w:spacing w:line="240" w:lineRule="exact"/>
              <w:ind w:firstLine="0"/>
              <w:jc w:val="center"/>
              <w:rPr>
                <w:sz w:val="24"/>
                <w:szCs w:val="24"/>
              </w:rPr>
            </w:pPr>
            <w:r w:rsidRPr="00740495">
              <w:rPr>
                <w:sz w:val="24"/>
                <w:szCs w:val="24"/>
              </w:rPr>
              <w:t>281398,9</w:t>
            </w:r>
          </w:p>
        </w:tc>
        <w:tc>
          <w:tcPr>
            <w:tcW w:w="1184" w:type="dxa"/>
            <w:shd w:val="clear" w:color="auto" w:fill="auto"/>
            <w:vAlign w:val="center"/>
          </w:tcPr>
          <w:p w:rsidR="00740495" w:rsidRPr="00740495" w:rsidRDefault="00740495" w:rsidP="00740495">
            <w:pPr>
              <w:spacing w:line="240" w:lineRule="exact"/>
              <w:ind w:firstLine="0"/>
              <w:jc w:val="center"/>
              <w:rPr>
                <w:sz w:val="24"/>
                <w:szCs w:val="24"/>
              </w:rPr>
            </w:pPr>
            <w:r w:rsidRPr="00740495">
              <w:rPr>
                <w:sz w:val="24"/>
                <w:szCs w:val="24"/>
              </w:rPr>
              <w:t>345030</w:t>
            </w:r>
          </w:p>
        </w:tc>
      </w:tr>
      <w:tr w:rsidR="00740495" w:rsidRPr="00740495" w:rsidTr="00740495">
        <w:tc>
          <w:tcPr>
            <w:tcW w:w="2404" w:type="dxa"/>
            <w:shd w:val="clear" w:color="auto" w:fill="auto"/>
          </w:tcPr>
          <w:p w:rsidR="00740495" w:rsidRPr="00740495" w:rsidRDefault="00740495" w:rsidP="00740495">
            <w:pPr>
              <w:spacing w:line="240" w:lineRule="exact"/>
              <w:ind w:firstLine="0"/>
              <w:jc w:val="both"/>
              <w:rPr>
                <w:sz w:val="24"/>
                <w:szCs w:val="24"/>
              </w:rPr>
            </w:pPr>
            <w:r w:rsidRPr="00740495">
              <w:rPr>
                <w:sz w:val="24"/>
                <w:szCs w:val="24"/>
              </w:rPr>
              <w:t>Объем расходов по Указу № 598</w:t>
            </w:r>
          </w:p>
        </w:tc>
        <w:tc>
          <w:tcPr>
            <w:tcW w:w="823" w:type="dxa"/>
            <w:vAlign w:val="center"/>
          </w:tcPr>
          <w:p w:rsidR="00740495" w:rsidRPr="00740495" w:rsidRDefault="00740495" w:rsidP="00740495">
            <w:pPr>
              <w:spacing w:line="240" w:lineRule="exact"/>
              <w:ind w:firstLine="0"/>
              <w:jc w:val="center"/>
              <w:rPr>
                <w:sz w:val="24"/>
                <w:szCs w:val="24"/>
              </w:rPr>
            </w:pPr>
          </w:p>
        </w:tc>
        <w:tc>
          <w:tcPr>
            <w:tcW w:w="1276" w:type="dxa"/>
            <w:shd w:val="clear" w:color="auto" w:fill="auto"/>
            <w:vAlign w:val="center"/>
          </w:tcPr>
          <w:p w:rsidR="00740495" w:rsidRPr="00740495" w:rsidRDefault="00740495" w:rsidP="00740495">
            <w:pPr>
              <w:spacing w:line="240" w:lineRule="exact"/>
              <w:ind w:firstLine="0"/>
              <w:jc w:val="center"/>
              <w:rPr>
                <w:sz w:val="24"/>
                <w:szCs w:val="24"/>
              </w:rPr>
            </w:pPr>
          </w:p>
        </w:tc>
        <w:tc>
          <w:tcPr>
            <w:tcW w:w="1275" w:type="dxa"/>
            <w:shd w:val="clear" w:color="auto" w:fill="auto"/>
            <w:vAlign w:val="center"/>
          </w:tcPr>
          <w:p w:rsidR="00740495" w:rsidRPr="00740495" w:rsidRDefault="00740495" w:rsidP="00740495">
            <w:pPr>
              <w:spacing w:line="240" w:lineRule="exact"/>
              <w:ind w:firstLine="0"/>
              <w:jc w:val="center"/>
              <w:rPr>
                <w:sz w:val="24"/>
                <w:szCs w:val="24"/>
              </w:rPr>
            </w:pPr>
          </w:p>
        </w:tc>
        <w:tc>
          <w:tcPr>
            <w:tcW w:w="1296" w:type="dxa"/>
            <w:shd w:val="clear" w:color="auto" w:fill="auto"/>
            <w:vAlign w:val="center"/>
          </w:tcPr>
          <w:p w:rsidR="00740495" w:rsidRPr="00740495" w:rsidRDefault="00740495" w:rsidP="00740495">
            <w:pPr>
              <w:spacing w:line="240" w:lineRule="exact"/>
              <w:ind w:firstLine="0"/>
              <w:jc w:val="center"/>
              <w:rPr>
                <w:sz w:val="24"/>
                <w:szCs w:val="24"/>
              </w:rPr>
            </w:pPr>
          </w:p>
        </w:tc>
        <w:tc>
          <w:tcPr>
            <w:tcW w:w="1313" w:type="dxa"/>
            <w:shd w:val="clear" w:color="auto" w:fill="auto"/>
            <w:vAlign w:val="center"/>
          </w:tcPr>
          <w:p w:rsidR="00740495" w:rsidRPr="00740495" w:rsidRDefault="00740495" w:rsidP="00740495">
            <w:pPr>
              <w:spacing w:line="240" w:lineRule="exact"/>
              <w:ind w:firstLine="0"/>
              <w:jc w:val="center"/>
              <w:rPr>
                <w:sz w:val="24"/>
                <w:szCs w:val="24"/>
              </w:rPr>
            </w:pPr>
          </w:p>
        </w:tc>
        <w:tc>
          <w:tcPr>
            <w:tcW w:w="1184" w:type="dxa"/>
            <w:shd w:val="clear" w:color="auto" w:fill="auto"/>
            <w:vAlign w:val="center"/>
          </w:tcPr>
          <w:p w:rsidR="00740495" w:rsidRPr="00740495" w:rsidRDefault="00740495" w:rsidP="00740495">
            <w:pPr>
              <w:spacing w:line="240" w:lineRule="exact"/>
              <w:ind w:firstLine="0"/>
              <w:jc w:val="center"/>
              <w:rPr>
                <w:sz w:val="24"/>
                <w:szCs w:val="24"/>
              </w:rPr>
            </w:pPr>
          </w:p>
        </w:tc>
      </w:tr>
      <w:tr w:rsidR="00740495" w:rsidRPr="00740495" w:rsidTr="00740495">
        <w:tc>
          <w:tcPr>
            <w:tcW w:w="2404" w:type="dxa"/>
            <w:shd w:val="clear" w:color="auto" w:fill="auto"/>
          </w:tcPr>
          <w:p w:rsidR="00740495" w:rsidRPr="00740495" w:rsidRDefault="00740495" w:rsidP="00740495">
            <w:pPr>
              <w:spacing w:line="240" w:lineRule="exact"/>
              <w:ind w:firstLine="0"/>
              <w:jc w:val="both"/>
              <w:rPr>
                <w:sz w:val="24"/>
                <w:szCs w:val="24"/>
              </w:rPr>
            </w:pPr>
            <w:r w:rsidRPr="00740495">
              <w:rPr>
                <w:sz w:val="24"/>
                <w:szCs w:val="24"/>
              </w:rPr>
              <w:t>«О совершенствовании государственной политики в сфере здравоохранения», тыс. рублей</w:t>
            </w:r>
          </w:p>
        </w:tc>
        <w:tc>
          <w:tcPr>
            <w:tcW w:w="823" w:type="dxa"/>
            <w:vAlign w:val="center"/>
          </w:tcPr>
          <w:p w:rsidR="00740495" w:rsidRPr="00740495" w:rsidRDefault="00740495" w:rsidP="00740495">
            <w:pPr>
              <w:spacing w:line="240" w:lineRule="exact"/>
              <w:ind w:firstLine="0"/>
              <w:jc w:val="center"/>
              <w:rPr>
                <w:sz w:val="24"/>
                <w:szCs w:val="24"/>
              </w:rPr>
            </w:pPr>
            <w:r w:rsidRPr="00740495">
              <w:rPr>
                <w:sz w:val="24"/>
                <w:szCs w:val="24"/>
              </w:rPr>
              <w:t>-</w:t>
            </w:r>
          </w:p>
        </w:tc>
        <w:tc>
          <w:tcPr>
            <w:tcW w:w="1276" w:type="dxa"/>
            <w:shd w:val="clear" w:color="auto" w:fill="auto"/>
            <w:vAlign w:val="center"/>
          </w:tcPr>
          <w:p w:rsidR="00740495" w:rsidRPr="00740495" w:rsidRDefault="00740495" w:rsidP="00740495">
            <w:pPr>
              <w:spacing w:line="240" w:lineRule="exact"/>
              <w:ind w:firstLine="0"/>
              <w:jc w:val="center"/>
              <w:rPr>
                <w:sz w:val="24"/>
                <w:szCs w:val="24"/>
              </w:rPr>
            </w:pPr>
            <w:r w:rsidRPr="00740495">
              <w:rPr>
                <w:sz w:val="24"/>
                <w:szCs w:val="24"/>
              </w:rPr>
              <w:t>884343,7</w:t>
            </w:r>
          </w:p>
        </w:tc>
        <w:tc>
          <w:tcPr>
            <w:tcW w:w="1275" w:type="dxa"/>
            <w:shd w:val="clear" w:color="auto" w:fill="auto"/>
            <w:vAlign w:val="center"/>
          </w:tcPr>
          <w:p w:rsidR="00740495" w:rsidRPr="00740495" w:rsidRDefault="00740495" w:rsidP="00740495">
            <w:pPr>
              <w:spacing w:line="240" w:lineRule="exact"/>
              <w:ind w:firstLine="0"/>
              <w:jc w:val="center"/>
              <w:rPr>
                <w:sz w:val="24"/>
                <w:szCs w:val="24"/>
              </w:rPr>
            </w:pPr>
            <w:r w:rsidRPr="00740495">
              <w:rPr>
                <w:sz w:val="24"/>
                <w:szCs w:val="24"/>
              </w:rPr>
              <w:t>345357,3</w:t>
            </w:r>
          </w:p>
        </w:tc>
        <w:tc>
          <w:tcPr>
            <w:tcW w:w="1296" w:type="dxa"/>
            <w:shd w:val="clear" w:color="auto" w:fill="auto"/>
            <w:vAlign w:val="center"/>
          </w:tcPr>
          <w:p w:rsidR="00740495" w:rsidRPr="00740495" w:rsidRDefault="00740495" w:rsidP="00740495">
            <w:pPr>
              <w:spacing w:line="240" w:lineRule="exact"/>
              <w:ind w:firstLine="0"/>
              <w:jc w:val="center"/>
              <w:rPr>
                <w:sz w:val="24"/>
                <w:szCs w:val="24"/>
              </w:rPr>
            </w:pPr>
            <w:r w:rsidRPr="00740495">
              <w:rPr>
                <w:sz w:val="24"/>
                <w:szCs w:val="24"/>
              </w:rPr>
              <w:t>232123,1</w:t>
            </w:r>
          </w:p>
        </w:tc>
        <w:tc>
          <w:tcPr>
            <w:tcW w:w="1313" w:type="dxa"/>
            <w:shd w:val="clear" w:color="auto" w:fill="auto"/>
            <w:vAlign w:val="center"/>
          </w:tcPr>
          <w:p w:rsidR="00740495" w:rsidRPr="00740495" w:rsidRDefault="00740495" w:rsidP="00740495">
            <w:pPr>
              <w:spacing w:line="240" w:lineRule="exact"/>
              <w:ind w:firstLine="0"/>
              <w:jc w:val="center"/>
              <w:rPr>
                <w:sz w:val="24"/>
                <w:szCs w:val="24"/>
              </w:rPr>
            </w:pPr>
            <w:r w:rsidRPr="00740495">
              <w:rPr>
                <w:sz w:val="24"/>
                <w:szCs w:val="24"/>
              </w:rPr>
              <w:t>198778,2</w:t>
            </w:r>
          </w:p>
        </w:tc>
        <w:tc>
          <w:tcPr>
            <w:tcW w:w="1184" w:type="dxa"/>
            <w:shd w:val="clear" w:color="auto" w:fill="auto"/>
            <w:vAlign w:val="center"/>
          </w:tcPr>
          <w:p w:rsidR="00740495" w:rsidRPr="00740495" w:rsidRDefault="00740495" w:rsidP="00740495">
            <w:pPr>
              <w:spacing w:line="240" w:lineRule="exact"/>
              <w:ind w:firstLine="0"/>
              <w:jc w:val="center"/>
              <w:rPr>
                <w:sz w:val="24"/>
                <w:szCs w:val="24"/>
              </w:rPr>
            </w:pPr>
            <w:r w:rsidRPr="00740495">
              <w:rPr>
                <w:sz w:val="24"/>
                <w:szCs w:val="24"/>
              </w:rPr>
              <w:t>198778,2</w:t>
            </w:r>
          </w:p>
        </w:tc>
      </w:tr>
      <w:tr w:rsidR="00740495" w:rsidRPr="00740495" w:rsidTr="00740495">
        <w:tc>
          <w:tcPr>
            <w:tcW w:w="2404" w:type="dxa"/>
            <w:shd w:val="clear" w:color="auto" w:fill="auto"/>
          </w:tcPr>
          <w:p w:rsidR="00740495" w:rsidRPr="00740495" w:rsidRDefault="00740495" w:rsidP="00740495">
            <w:pPr>
              <w:spacing w:line="240" w:lineRule="exact"/>
              <w:ind w:firstLine="0"/>
              <w:jc w:val="both"/>
              <w:rPr>
                <w:sz w:val="24"/>
                <w:szCs w:val="24"/>
              </w:rPr>
            </w:pPr>
            <w:r w:rsidRPr="00740495">
              <w:rPr>
                <w:sz w:val="24"/>
                <w:szCs w:val="24"/>
              </w:rPr>
              <w:t>Объем расходов по Указу № 599</w:t>
            </w:r>
          </w:p>
        </w:tc>
        <w:tc>
          <w:tcPr>
            <w:tcW w:w="823" w:type="dxa"/>
            <w:vAlign w:val="center"/>
          </w:tcPr>
          <w:p w:rsidR="00740495" w:rsidRPr="00740495" w:rsidRDefault="00740495" w:rsidP="00740495">
            <w:pPr>
              <w:spacing w:line="240" w:lineRule="exact"/>
              <w:ind w:firstLine="0"/>
              <w:jc w:val="center"/>
              <w:rPr>
                <w:sz w:val="24"/>
                <w:szCs w:val="24"/>
              </w:rPr>
            </w:pPr>
          </w:p>
        </w:tc>
        <w:tc>
          <w:tcPr>
            <w:tcW w:w="1276" w:type="dxa"/>
            <w:shd w:val="clear" w:color="auto" w:fill="auto"/>
            <w:vAlign w:val="center"/>
          </w:tcPr>
          <w:p w:rsidR="00740495" w:rsidRPr="00740495" w:rsidRDefault="00740495" w:rsidP="00740495">
            <w:pPr>
              <w:spacing w:line="240" w:lineRule="exact"/>
              <w:ind w:firstLine="0"/>
              <w:jc w:val="center"/>
              <w:rPr>
                <w:sz w:val="24"/>
                <w:szCs w:val="24"/>
              </w:rPr>
            </w:pPr>
          </w:p>
        </w:tc>
        <w:tc>
          <w:tcPr>
            <w:tcW w:w="1275" w:type="dxa"/>
            <w:shd w:val="clear" w:color="auto" w:fill="auto"/>
            <w:vAlign w:val="center"/>
          </w:tcPr>
          <w:p w:rsidR="00740495" w:rsidRPr="00740495" w:rsidRDefault="00740495" w:rsidP="00740495">
            <w:pPr>
              <w:spacing w:line="240" w:lineRule="exact"/>
              <w:ind w:firstLine="0"/>
              <w:jc w:val="center"/>
              <w:rPr>
                <w:sz w:val="24"/>
                <w:szCs w:val="24"/>
              </w:rPr>
            </w:pPr>
          </w:p>
        </w:tc>
        <w:tc>
          <w:tcPr>
            <w:tcW w:w="1296" w:type="dxa"/>
            <w:shd w:val="clear" w:color="auto" w:fill="auto"/>
            <w:vAlign w:val="center"/>
          </w:tcPr>
          <w:p w:rsidR="00740495" w:rsidRPr="00740495" w:rsidRDefault="00740495" w:rsidP="00740495">
            <w:pPr>
              <w:spacing w:line="240" w:lineRule="exact"/>
              <w:ind w:firstLine="0"/>
              <w:jc w:val="center"/>
              <w:rPr>
                <w:sz w:val="24"/>
                <w:szCs w:val="24"/>
              </w:rPr>
            </w:pPr>
          </w:p>
        </w:tc>
        <w:tc>
          <w:tcPr>
            <w:tcW w:w="1313" w:type="dxa"/>
            <w:shd w:val="clear" w:color="auto" w:fill="auto"/>
            <w:vAlign w:val="center"/>
          </w:tcPr>
          <w:p w:rsidR="00740495" w:rsidRPr="00740495" w:rsidRDefault="00740495" w:rsidP="00740495">
            <w:pPr>
              <w:spacing w:line="240" w:lineRule="exact"/>
              <w:ind w:firstLine="0"/>
              <w:jc w:val="center"/>
              <w:rPr>
                <w:sz w:val="24"/>
                <w:szCs w:val="24"/>
              </w:rPr>
            </w:pPr>
          </w:p>
        </w:tc>
        <w:tc>
          <w:tcPr>
            <w:tcW w:w="1184" w:type="dxa"/>
            <w:shd w:val="clear" w:color="auto" w:fill="auto"/>
            <w:vAlign w:val="center"/>
          </w:tcPr>
          <w:p w:rsidR="00740495" w:rsidRPr="00740495" w:rsidRDefault="00740495" w:rsidP="00740495">
            <w:pPr>
              <w:spacing w:line="240" w:lineRule="exact"/>
              <w:ind w:firstLine="0"/>
              <w:jc w:val="center"/>
              <w:rPr>
                <w:sz w:val="24"/>
                <w:szCs w:val="24"/>
              </w:rPr>
            </w:pPr>
          </w:p>
        </w:tc>
      </w:tr>
    </w:tbl>
    <w:p w:rsidR="009613AF" w:rsidRPr="003D184E" w:rsidRDefault="00BD21FC" w:rsidP="009613AF">
      <w:pPr>
        <w:ind w:firstLine="0"/>
        <w:jc w:val="center"/>
        <w:rPr>
          <w:b/>
        </w:rPr>
      </w:pPr>
      <w:r w:rsidRPr="003D184E">
        <w:rPr>
          <w:b/>
        </w:rPr>
        <w:t>12</w:t>
      </w:r>
      <w:r w:rsidR="009613AF" w:rsidRPr="003D184E">
        <w:rPr>
          <w:b/>
        </w:rPr>
        <w:t>. Перечень основных проблемных вопросов развития региона, сдерживающих его социально-экономическое развитие</w:t>
      </w:r>
    </w:p>
    <w:p w:rsidR="0090479F" w:rsidRPr="003D184E" w:rsidRDefault="0090479F" w:rsidP="0090479F">
      <w:pPr>
        <w:jc w:val="both"/>
      </w:pPr>
      <w:r w:rsidRPr="003D184E">
        <w:t>1. Основными факторами, сдерживающими рост производства промышленной продукции являются:</w:t>
      </w:r>
    </w:p>
    <w:p w:rsidR="0090479F" w:rsidRPr="003D184E" w:rsidRDefault="0090479F" w:rsidP="0090479F">
      <w:pPr>
        <w:jc w:val="both"/>
      </w:pPr>
      <w:r w:rsidRPr="003D184E">
        <w:t>рост цен на энергоносители;</w:t>
      </w:r>
    </w:p>
    <w:p w:rsidR="0090479F" w:rsidRPr="003D184E" w:rsidRDefault="0090479F" w:rsidP="0090479F">
      <w:pPr>
        <w:jc w:val="both"/>
      </w:pPr>
      <w:r w:rsidRPr="003D184E">
        <w:lastRenderedPageBreak/>
        <w:t>высокая конкуренция на рынке;</w:t>
      </w:r>
    </w:p>
    <w:p w:rsidR="0090479F" w:rsidRPr="003D184E" w:rsidRDefault="0090479F" w:rsidP="0090479F">
      <w:pPr>
        <w:jc w:val="both"/>
      </w:pPr>
      <w:r w:rsidRPr="003D184E">
        <w:t>высокие процентные ставки по кредитам.</w:t>
      </w:r>
    </w:p>
    <w:p w:rsidR="0090479F" w:rsidRPr="003D184E" w:rsidRDefault="0090479F" w:rsidP="0090479F">
      <w:pPr>
        <w:jc w:val="both"/>
      </w:pPr>
      <w:r w:rsidRPr="003D184E">
        <w:t>2. Основными факторами, влияющими на развитие сельского хозяйства области являются:</w:t>
      </w:r>
    </w:p>
    <w:p w:rsidR="00694EC0" w:rsidRPr="003D184E" w:rsidRDefault="00694EC0" w:rsidP="00694EC0">
      <w:pPr>
        <w:jc w:val="both"/>
      </w:pPr>
      <w:r>
        <w:t xml:space="preserve">недостаточная рентабельность сельскохозяйственного производства. Средняя рентабельность сельскохозяйственного производства за 2009-2013 </w:t>
      </w:r>
      <w:r w:rsidR="003D184E">
        <w:t>годы составила 3,5</w:t>
      </w:r>
      <w:r w:rsidRPr="003D184E">
        <w:t>% с учетом государственной поддержки (в 2013 году получен</w:t>
      </w:r>
      <w:r w:rsidR="003D184E">
        <w:t xml:space="preserve"> убыток, убыточность составила 2,9%). </w:t>
      </w:r>
      <w:r w:rsidRPr="003D184E">
        <w:t>Без государственной по</w:t>
      </w:r>
      <w:r w:rsidR="003D184E">
        <w:t xml:space="preserve">ддержки производство убыточно. </w:t>
      </w:r>
      <w:r w:rsidRPr="003D184E">
        <w:t>Средняя убыточнос</w:t>
      </w:r>
      <w:r w:rsidR="003D184E">
        <w:t xml:space="preserve">ть за 2009-2013 годы составила 4,9% ,в 2013 году – </w:t>
      </w:r>
      <w:r w:rsidRPr="003D184E">
        <w:t>17,0% (при этом для ведения расширенного воспроизводства необходима рентаб</w:t>
      </w:r>
      <w:r w:rsidR="003D184E">
        <w:t>ельность на уровне не ниже 12,0</w:t>
      </w:r>
      <w:r w:rsidRPr="003D184E">
        <w:t>%);</w:t>
      </w:r>
    </w:p>
    <w:p w:rsidR="0090479F" w:rsidRPr="003D184E" w:rsidRDefault="0090479F" w:rsidP="0090479F">
      <w:pPr>
        <w:jc w:val="both"/>
      </w:pPr>
      <w:r w:rsidRPr="003D184E">
        <w:t>удорожание комбикормов</w:t>
      </w:r>
      <w:r w:rsidR="004C6095" w:rsidRPr="003D184E">
        <w:t xml:space="preserve">, </w:t>
      </w:r>
      <w:r w:rsidRPr="003D184E">
        <w:t>увеличение стоимости ГСМ</w:t>
      </w:r>
      <w:r w:rsidR="004C6095" w:rsidRPr="003D184E">
        <w:t xml:space="preserve"> и</w:t>
      </w:r>
      <w:r w:rsidRPr="003D184E">
        <w:t xml:space="preserve"> энергоносителей;</w:t>
      </w:r>
    </w:p>
    <w:p w:rsidR="0090479F" w:rsidRPr="003D184E" w:rsidRDefault="0090479F" w:rsidP="0090479F">
      <w:pPr>
        <w:jc w:val="both"/>
      </w:pPr>
      <w:r w:rsidRPr="003D184E">
        <w:t>сниже</w:t>
      </w:r>
      <w:r w:rsidR="004C6095" w:rsidRPr="003D184E">
        <w:t>ние цен на мясо свинины и птицы.</w:t>
      </w:r>
    </w:p>
    <w:p w:rsidR="00C07D5B" w:rsidRPr="00C07D5B" w:rsidRDefault="0090479F" w:rsidP="00C07D5B">
      <w:pPr>
        <w:jc w:val="both"/>
      </w:pPr>
      <w:r w:rsidRPr="00C07D5B">
        <w:t xml:space="preserve">3. </w:t>
      </w:r>
      <w:r w:rsidR="00C07D5B" w:rsidRPr="00C07D5B">
        <w:t xml:space="preserve">К сдерживающим факторам развития рынка труда области </w:t>
      </w:r>
      <w:r w:rsidR="003D184E">
        <w:t>относится профессионально-квалификационная</w:t>
      </w:r>
      <w:r w:rsidR="00C07D5B" w:rsidRPr="00C07D5B">
        <w:t xml:space="preserve"> диспропорци</w:t>
      </w:r>
      <w:r w:rsidR="003D184E">
        <w:t>я</w:t>
      </w:r>
      <w:r w:rsidR="00C07D5B" w:rsidRPr="00C07D5B">
        <w:t xml:space="preserve"> спроса и предложения рабочей силы на рынке труда.</w:t>
      </w:r>
    </w:p>
    <w:p w:rsidR="00C07D5B" w:rsidRPr="00C07D5B" w:rsidRDefault="00C07D5B" w:rsidP="00C07D5B">
      <w:pPr>
        <w:jc w:val="both"/>
      </w:pPr>
      <w:r w:rsidRPr="00C07D5B">
        <w:t>По заявленным в органы службы занятости вакансиям потребность в специалистах составляет 16,7%, а на учете в органах службы занятости состоит 39,5% граждан, имеющих высшее и среднее профессиональное образование.</w:t>
      </w:r>
    </w:p>
    <w:p w:rsidR="001626E0" w:rsidRPr="009613AF" w:rsidRDefault="00CB2048" w:rsidP="001626E0">
      <w:pPr>
        <w:jc w:val="both"/>
      </w:pPr>
      <w:r w:rsidRPr="003D184E">
        <w:t>4</w:t>
      </w:r>
      <w:r w:rsidR="0090479F" w:rsidRPr="003D184E">
        <w:t>. Основной проблемой в жилищном строительстве остается недостаточность средств бюджета для обеспечения инженерной инфраструктурой земельных участков, сформированных для комплексной застройки в целях жилищного строительства.</w:t>
      </w:r>
    </w:p>
    <w:sectPr w:rsidR="001626E0" w:rsidRPr="009613AF" w:rsidSect="009613AF">
      <w:headerReference w:type="default" r:id="rId8"/>
      <w:pgSz w:w="11906" w:h="16838"/>
      <w:pgMar w:top="1134" w:right="850" w:bottom="1134" w:left="1701" w:header="708" w:footer="708"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5ED8" w:rsidRDefault="00FB5ED8" w:rsidP="009613AF">
      <w:pPr>
        <w:spacing w:line="240" w:lineRule="auto"/>
      </w:pPr>
      <w:r>
        <w:separator/>
      </w:r>
    </w:p>
  </w:endnote>
  <w:endnote w:type="continuationSeparator" w:id="0">
    <w:p w:rsidR="00FB5ED8" w:rsidRDefault="00FB5ED8" w:rsidP="009613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5ED8" w:rsidRDefault="00FB5ED8" w:rsidP="009613AF">
      <w:pPr>
        <w:spacing w:line="240" w:lineRule="auto"/>
      </w:pPr>
      <w:r>
        <w:separator/>
      </w:r>
    </w:p>
  </w:footnote>
  <w:footnote w:type="continuationSeparator" w:id="0">
    <w:p w:rsidR="00FB5ED8" w:rsidRDefault="00FB5ED8" w:rsidP="009613AF">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17947627"/>
      <w:docPartObj>
        <w:docPartGallery w:val="Page Numbers (Top of Page)"/>
        <w:docPartUnique/>
      </w:docPartObj>
    </w:sdtPr>
    <w:sdtEndPr/>
    <w:sdtContent>
      <w:p w:rsidR="0007420F" w:rsidRDefault="0007420F" w:rsidP="009613AF">
        <w:pPr>
          <w:pStyle w:val="a6"/>
          <w:ind w:firstLine="0"/>
          <w:jc w:val="center"/>
        </w:pPr>
        <w:r>
          <w:fldChar w:fldCharType="begin"/>
        </w:r>
        <w:r>
          <w:instrText>PAGE   \* MERGEFORMAT</w:instrText>
        </w:r>
        <w:r>
          <w:fldChar w:fldCharType="separate"/>
        </w:r>
        <w:r w:rsidR="00E547BB">
          <w:rPr>
            <w:noProof/>
          </w:rPr>
          <w:t>2</w:t>
        </w:r>
        <w: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1A08"/>
    <w:rsid w:val="00052485"/>
    <w:rsid w:val="0007420F"/>
    <w:rsid w:val="000A4B6A"/>
    <w:rsid w:val="000B3F68"/>
    <w:rsid w:val="000F7E9A"/>
    <w:rsid w:val="001069EB"/>
    <w:rsid w:val="001626E0"/>
    <w:rsid w:val="001655BC"/>
    <w:rsid w:val="00177BCE"/>
    <w:rsid w:val="00194666"/>
    <w:rsid w:val="00262356"/>
    <w:rsid w:val="002D5995"/>
    <w:rsid w:val="00320C02"/>
    <w:rsid w:val="003D184E"/>
    <w:rsid w:val="00404154"/>
    <w:rsid w:val="00410409"/>
    <w:rsid w:val="004C6095"/>
    <w:rsid w:val="0052233B"/>
    <w:rsid w:val="00542B65"/>
    <w:rsid w:val="00646F07"/>
    <w:rsid w:val="00664480"/>
    <w:rsid w:val="00694EC0"/>
    <w:rsid w:val="006A1640"/>
    <w:rsid w:val="006F3BB4"/>
    <w:rsid w:val="00740495"/>
    <w:rsid w:val="00791597"/>
    <w:rsid w:val="007B7284"/>
    <w:rsid w:val="007E4482"/>
    <w:rsid w:val="00872EAE"/>
    <w:rsid w:val="008E1A08"/>
    <w:rsid w:val="0090479F"/>
    <w:rsid w:val="009613AF"/>
    <w:rsid w:val="009D3B18"/>
    <w:rsid w:val="00A532FD"/>
    <w:rsid w:val="00A74E0D"/>
    <w:rsid w:val="00AB3119"/>
    <w:rsid w:val="00AC5EA1"/>
    <w:rsid w:val="00AE6A21"/>
    <w:rsid w:val="00AF7AE5"/>
    <w:rsid w:val="00B44A59"/>
    <w:rsid w:val="00B65E85"/>
    <w:rsid w:val="00BD21FC"/>
    <w:rsid w:val="00BD4659"/>
    <w:rsid w:val="00BF2880"/>
    <w:rsid w:val="00C07D5B"/>
    <w:rsid w:val="00C14563"/>
    <w:rsid w:val="00C92FC5"/>
    <w:rsid w:val="00CA742C"/>
    <w:rsid w:val="00CB2048"/>
    <w:rsid w:val="00D102AB"/>
    <w:rsid w:val="00D208FF"/>
    <w:rsid w:val="00DB6D88"/>
    <w:rsid w:val="00DD3438"/>
    <w:rsid w:val="00DE5C5B"/>
    <w:rsid w:val="00E13D79"/>
    <w:rsid w:val="00E50FDF"/>
    <w:rsid w:val="00E547BB"/>
    <w:rsid w:val="00EA09E9"/>
    <w:rsid w:val="00EC1703"/>
    <w:rsid w:val="00F37ABC"/>
    <w:rsid w:val="00F77F1D"/>
    <w:rsid w:val="00F863F5"/>
    <w:rsid w:val="00FB0FF9"/>
    <w:rsid w:val="00FB1BBF"/>
    <w:rsid w:val="00FB5E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8"/>
        <w:szCs w:val="19"/>
        <w:lang w:val="ru-RU" w:eastAsia="en-US" w:bidi="ar-SA"/>
      </w:rPr>
    </w:rPrDefault>
    <w:pPrDefault>
      <w:pPr>
        <w:spacing w:line="360" w:lineRule="atLeast"/>
        <w:ind w:firstLine="709"/>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13AF"/>
    <w:rPr>
      <w:rFonts w:eastAsia="Calibri"/>
      <w:szCs w:val="28"/>
    </w:rPr>
  </w:style>
  <w:style w:type="paragraph" w:styleId="1">
    <w:name w:val="heading 1"/>
    <w:basedOn w:val="a"/>
    <w:next w:val="a"/>
    <w:link w:val="10"/>
    <w:qFormat/>
    <w:rsid w:val="00410409"/>
    <w:pPr>
      <w:keepNext/>
      <w:spacing w:before="240" w:after="60"/>
      <w:ind w:firstLine="0"/>
      <w:outlineLvl w:val="0"/>
    </w:pPr>
    <w:rPr>
      <w:rFonts w:ascii="Arial" w:hAnsi="Arial" w:cs="Arial"/>
      <w:b/>
      <w:bCs/>
      <w:kern w:val="32"/>
      <w:sz w:val="24"/>
      <w:szCs w:val="32"/>
    </w:rPr>
  </w:style>
  <w:style w:type="paragraph" w:styleId="2">
    <w:name w:val="heading 2"/>
    <w:basedOn w:val="a"/>
    <w:next w:val="a"/>
    <w:link w:val="20"/>
    <w:qFormat/>
    <w:rsid w:val="00410409"/>
    <w:pPr>
      <w:keepNext/>
      <w:ind w:firstLine="0"/>
      <w:outlineLvl w:val="1"/>
    </w:pPr>
    <w:rPr>
      <w:rFonts w:ascii="Arial" w:hAnsi="Arial" w:cs="Arial"/>
      <w:b/>
      <w:bCs/>
      <w:iCs/>
      <w:smallCaps/>
      <w:sz w:val="16"/>
      <w:szCs w:val="16"/>
    </w:rPr>
  </w:style>
  <w:style w:type="paragraph" w:styleId="3">
    <w:name w:val="heading 3"/>
    <w:basedOn w:val="a"/>
    <w:next w:val="a"/>
    <w:link w:val="30"/>
    <w:autoRedefine/>
    <w:qFormat/>
    <w:rsid w:val="00410409"/>
    <w:pPr>
      <w:keepNext/>
      <w:spacing w:before="60" w:after="60"/>
      <w:ind w:firstLine="0"/>
      <w:outlineLvl w:val="2"/>
    </w:pPr>
    <w:rPr>
      <w:rFonts w:ascii="Arial" w:hAnsi="Arial" w:cs="Arial"/>
      <w:b/>
      <w:color w:val="000080"/>
      <w:sz w:val="20"/>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10409"/>
    <w:rPr>
      <w:rFonts w:ascii="Arial" w:hAnsi="Arial" w:cs="Arial"/>
      <w:b/>
      <w:bCs/>
      <w:kern w:val="32"/>
      <w:sz w:val="24"/>
      <w:szCs w:val="32"/>
      <w:lang w:eastAsia="ru-RU"/>
    </w:rPr>
  </w:style>
  <w:style w:type="character" w:customStyle="1" w:styleId="20">
    <w:name w:val="Заголовок 2 Знак"/>
    <w:basedOn w:val="a0"/>
    <w:link w:val="2"/>
    <w:rsid w:val="00410409"/>
    <w:rPr>
      <w:rFonts w:ascii="Arial" w:hAnsi="Arial" w:cs="Arial"/>
      <w:b/>
      <w:bCs/>
      <w:iCs/>
      <w:smallCaps/>
      <w:sz w:val="16"/>
      <w:szCs w:val="16"/>
      <w:lang w:eastAsia="ru-RU"/>
    </w:rPr>
  </w:style>
  <w:style w:type="character" w:customStyle="1" w:styleId="30">
    <w:name w:val="Заголовок 3 Знак"/>
    <w:basedOn w:val="a0"/>
    <w:link w:val="3"/>
    <w:rsid w:val="00410409"/>
    <w:rPr>
      <w:rFonts w:ascii="Arial" w:hAnsi="Arial" w:cs="Arial"/>
      <w:b/>
      <w:color w:val="000080"/>
      <w:lang w:val="en-US" w:eastAsia="ru-RU"/>
    </w:rPr>
  </w:style>
  <w:style w:type="paragraph" w:styleId="a3">
    <w:name w:val="caption"/>
    <w:basedOn w:val="a"/>
    <w:qFormat/>
    <w:rsid w:val="00410409"/>
    <w:pPr>
      <w:ind w:firstLine="0"/>
      <w:jc w:val="center"/>
    </w:pPr>
    <w:rPr>
      <w:rFonts w:ascii="Arial" w:hAnsi="Arial" w:cs="Arial"/>
      <w:b/>
      <w:color w:val="000000"/>
      <w:sz w:val="36"/>
      <w:szCs w:val="20"/>
    </w:rPr>
  </w:style>
  <w:style w:type="character" w:styleId="a4">
    <w:name w:val="Strong"/>
    <w:qFormat/>
    <w:rsid w:val="00410409"/>
    <w:rPr>
      <w:rFonts w:cs="Times New Roman"/>
      <w:b/>
      <w:bCs/>
    </w:rPr>
  </w:style>
  <w:style w:type="paragraph" w:styleId="a5">
    <w:name w:val="List Paragraph"/>
    <w:basedOn w:val="a"/>
    <w:uiPriority w:val="34"/>
    <w:qFormat/>
    <w:rsid w:val="009613AF"/>
    <w:pPr>
      <w:ind w:left="720"/>
      <w:contextualSpacing/>
    </w:pPr>
  </w:style>
  <w:style w:type="paragraph" w:styleId="a6">
    <w:name w:val="header"/>
    <w:basedOn w:val="a"/>
    <w:link w:val="a7"/>
    <w:uiPriority w:val="99"/>
    <w:unhideWhenUsed/>
    <w:rsid w:val="009613AF"/>
    <w:pPr>
      <w:tabs>
        <w:tab w:val="center" w:pos="4677"/>
        <w:tab w:val="right" w:pos="9355"/>
      </w:tabs>
      <w:spacing w:line="240" w:lineRule="auto"/>
    </w:pPr>
  </w:style>
  <w:style w:type="character" w:customStyle="1" w:styleId="a7">
    <w:name w:val="Верхний колонтитул Знак"/>
    <w:basedOn w:val="a0"/>
    <w:link w:val="a6"/>
    <w:uiPriority w:val="99"/>
    <w:rsid w:val="009613AF"/>
    <w:rPr>
      <w:rFonts w:eastAsia="Calibri"/>
      <w:szCs w:val="28"/>
    </w:rPr>
  </w:style>
  <w:style w:type="paragraph" w:styleId="a8">
    <w:name w:val="footer"/>
    <w:basedOn w:val="a"/>
    <w:link w:val="a9"/>
    <w:uiPriority w:val="99"/>
    <w:unhideWhenUsed/>
    <w:rsid w:val="009613AF"/>
    <w:pPr>
      <w:tabs>
        <w:tab w:val="center" w:pos="4677"/>
        <w:tab w:val="right" w:pos="9355"/>
      </w:tabs>
      <w:spacing w:line="240" w:lineRule="auto"/>
    </w:pPr>
  </w:style>
  <w:style w:type="character" w:customStyle="1" w:styleId="a9">
    <w:name w:val="Нижний колонтитул Знак"/>
    <w:basedOn w:val="a0"/>
    <w:link w:val="a8"/>
    <w:uiPriority w:val="99"/>
    <w:rsid w:val="009613AF"/>
    <w:rPr>
      <w:rFonts w:eastAsia="Calibri"/>
      <w:szCs w:val="28"/>
    </w:rPr>
  </w:style>
  <w:style w:type="paragraph" w:customStyle="1" w:styleId="11">
    <w:name w:val="Обычный1"/>
    <w:rsid w:val="007E4482"/>
    <w:pPr>
      <w:widowControl w:val="0"/>
      <w:spacing w:line="240" w:lineRule="auto"/>
      <w:ind w:firstLine="0"/>
    </w:pPr>
    <w:rPr>
      <w:snapToGrid w:val="0"/>
      <w:sz w:val="20"/>
      <w:szCs w:val="20"/>
      <w:lang w:eastAsia="ru-RU"/>
    </w:rPr>
  </w:style>
  <w:style w:type="table" w:styleId="aa">
    <w:name w:val="Table Grid"/>
    <w:basedOn w:val="a1"/>
    <w:rsid w:val="00664480"/>
    <w:pPr>
      <w:spacing w:line="240" w:lineRule="auto"/>
      <w:ind w:firstLine="0"/>
    </w:pPr>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NX">
    <w:name w:val="NormalANX"/>
    <w:basedOn w:val="a"/>
    <w:rsid w:val="00664480"/>
    <w:pPr>
      <w:spacing w:before="240" w:after="240" w:line="360" w:lineRule="auto"/>
      <w:ind w:firstLine="720"/>
      <w:jc w:val="both"/>
    </w:pPr>
    <w:rPr>
      <w:rFonts w:eastAsia="Times New Roman"/>
      <w:szCs w:val="20"/>
      <w:lang w:eastAsia="ru-RU"/>
    </w:rPr>
  </w:style>
  <w:style w:type="paragraph" w:styleId="ab">
    <w:name w:val="Balloon Text"/>
    <w:basedOn w:val="a"/>
    <w:link w:val="ac"/>
    <w:uiPriority w:val="99"/>
    <w:semiHidden/>
    <w:unhideWhenUsed/>
    <w:rsid w:val="00E13D79"/>
    <w:pPr>
      <w:spacing w:line="240" w:lineRule="auto"/>
    </w:pPr>
    <w:rPr>
      <w:rFonts w:ascii="Tahoma" w:hAnsi="Tahoma" w:cs="Tahoma"/>
      <w:sz w:val="16"/>
      <w:szCs w:val="16"/>
    </w:rPr>
  </w:style>
  <w:style w:type="character" w:customStyle="1" w:styleId="ac">
    <w:name w:val="Текст выноски Знак"/>
    <w:basedOn w:val="a0"/>
    <w:link w:val="ab"/>
    <w:uiPriority w:val="99"/>
    <w:semiHidden/>
    <w:rsid w:val="00E13D79"/>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8"/>
        <w:szCs w:val="19"/>
        <w:lang w:val="ru-RU" w:eastAsia="en-US" w:bidi="ar-SA"/>
      </w:rPr>
    </w:rPrDefault>
    <w:pPrDefault>
      <w:pPr>
        <w:spacing w:line="360" w:lineRule="atLeast"/>
        <w:ind w:firstLine="709"/>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13AF"/>
    <w:rPr>
      <w:rFonts w:eastAsia="Calibri"/>
      <w:szCs w:val="28"/>
    </w:rPr>
  </w:style>
  <w:style w:type="paragraph" w:styleId="1">
    <w:name w:val="heading 1"/>
    <w:basedOn w:val="a"/>
    <w:next w:val="a"/>
    <w:link w:val="10"/>
    <w:qFormat/>
    <w:rsid w:val="00410409"/>
    <w:pPr>
      <w:keepNext/>
      <w:spacing w:before="240" w:after="60"/>
      <w:ind w:firstLine="0"/>
      <w:outlineLvl w:val="0"/>
    </w:pPr>
    <w:rPr>
      <w:rFonts w:ascii="Arial" w:hAnsi="Arial" w:cs="Arial"/>
      <w:b/>
      <w:bCs/>
      <w:kern w:val="32"/>
      <w:sz w:val="24"/>
      <w:szCs w:val="32"/>
    </w:rPr>
  </w:style>
  <w:style w:type="paragraph" w:styleId="2">
    <w:name w:val="heading 2"/>
    <w:basedOn w:val="a"/>
    <w:next w:val="a"/>
    <w:link w:val="20"/>
    <w:qFormat/>
    <w:rsid w:val="00410409"/>
    <w:pPr>
      <w:keepNext/>
      <w:ind w:firstLine="0"/>
      <w:outlineLvl w:val="1"/>
    </w:pPr>
    <w:rPr>
      <w:rFonts w:ascii="Arial" w:hAnsi="Arial" w:cs="Arial"/>
      <w:b/>
      <w:bCs/>
      <w:iCs/>
      <w:smallCaps/>
      <w:sz w:val="16"/>
      <w:szCs w:val="16"/>
    </w:rPr>
  </w:style>
  <w:style w:type="paragraph" w:styleId="3">
    <w:name w:val="heading 3"/>
    <w:basedOn w:val="a"/>
    <w:next w:val="a"/>
    <w:link w:val="30"/>
    <w:autoRedefine/>
    <w:qFormat/>
    <w:rsid w:val="00410409"/>
    <w:pPr>
      <w:keepNext/>
      <w:spacing w:before="60" w:after="60"/>
      <w:ind w:firstLine="0"/>
      <w:outlineLvl w:val="2"/>
    </w:pPr>
    <w:rPr>
      <w:rFonts w:ascii="Arial" w:hAnsi="Arial" w:cs="Arial"/>
      <w:b/>
      <w:color w:val="000080"/>
      <w:sz w:val="20"/>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10409"/>
    <w:rPr>
      <w:rFonts w:ascii="Arial" w:hAnsi="Arial" w:cs="Arial"/>
      <w:b/>
      <w:bCs/>
      <w:kern w:val="32"/>
      <w:sz w:val="24"/>
      <w:szCs w:val="32"/>
      <w:lang w:eastAsia="ru-RU"/>
    </w:rPr>
  </w:style>
  <w:style w:type="character" w:customStyle="1" w:styleId="20">
    <w:name w:val="Заголовок 2 Знак"/>
    <w:basedOn w:val="a0"/>
    <w:link w:val="2"/>
    <w:rsid w:val="00410409"/>
    <w:rPr>
      <w:rFonts w:ascii="Arial" w:hAnsi="Arial" w:cs="Arial"/>
      <w:b/>
      <w:bCs/>
      <w:iCs/>
      <w:smallCaps/>
      <w:sz w:val="16"/>
      <w:szCs w:val="16"/>
      <w:lang w:eastAsia="ru-RU"/>
    </w:rPr>
  </w:style>
  <w:style w:type="character" w:customStyle="1" w:styleId="30">
    <w:name w:val="Заголовок 3 Знак"/>
    <w:basedOn w:val="a0"/>
    <w:link w:val="3"/>
    <w:rsid w:val="00410409"/>
    <w:rPr>
      <w:rFonts w:ascii="Arial" w:hAnsi="Arial" w:cs="Arial"/>
      <w:b/>
      <w:color w:val="000080"/>
      <w:lang w:val="en-US" w:eastAsia="ru-RU"/>
    </w:rPr>
  </w:style>
  <w:style w:type="paragraph" w:styleId="a3">
    <w:name w:val="caption"/>
    <w:basedOn w:val="a"/>
    <w:qFormat/>
    <w:rsid w:val="00410409"/>
    <w:pPr>
      <w:ind w:firstLine="0"/>
      <w:jc w:val="center"/>
    </w:pPr>
    <w:rPr>
      <w:rFonts w:ascii="Arial" w:hAnsi="Arial" w:cs="Arial"/>
      <w:b/>
      <w:color w:val="000000"/>
      <w:sz w:val="36"/>
      <w:szCs w:val="20"/>
    </w:rPr>
  </w:style>
  <w:style w:type="character" w:styleId="a4">
    <w:name w:val="Strong"/>
    <w:qFormat/>
    <w:rsid w:val="00410409"/>
    <w:rPr>
      <w:rFonts w:cs="Times New Roman"/>
      <w:b/>
      <w:bCs/>
    </w:rPr>
  </w:style>
  <w:style w:type="paragraph" w:styleId="a5">
    <w:name w:val="List Paragraph"/>
    <w:basedOn w:val="a"/>
    <w:uiPriority w:val="34"/>
    <w:qFormat/>
    <w:rsid w:val="009613AF"/>
    <w:pPr>
      <w:ind w:left="720"/>
      <w:contextualSpacing/>
    </w:pPr>
  </w:style>
  <w:style w:type="paragraph" w:styleId="a6">
    <w:name w:val="header"/>
    <w:basedOn w:val="a"/>
    <w:link w:val="a7"/>
    <w:uiPriority w:val="99"/>
    <w:unhideWhenUsed/>
    <w:rsid w:val="009613AF"/>
    <w:pPr>
      <w:tabs>
        <w:tab w:val="center" w:pos="4677"/>
        <w:tab w:val="right" w:pos="9355"/>
      </w:tabs>
      <w:spacing w:line="240" w:lineRule="auto"/>
    </w:pPr>
  </w:style>
  <w:style w:type="character" w:customStyle="1" w:styleId="a7">
    <w:name w:val="Верхний колонтитул Знак"/>
    <w:basedOn w:val="a0"/>
    <w:link w:val="a6"/>
    <w:uiPriority w:val="99"/>
    <w:rsid w:val="009613AF"/>
    <w:rPr>
      <w:rFonts w:eastAsia="Calibri"/>
      <w:szCs w:val="28"/>
    </w:rPr>
  </w:style>
  <w:style w:type="paragraph" w:styleId="a8">
    <w:name w:val="footer"/>
    <w:basedOn w:val="a"/>
    <w:link w:val="a9"/>
    <w:uiPriority w:val="99"/>
    <w:unhideWhenUsed/>
    <w:rsid w:val="009613AF"/>
    <w:pPr>
      <w:tabs>
        <w:tab w:val="center" w:pos="4677"/>
        <w:tab w:val="right" w:pos="9355"/>
      </w:tabs>
      <w:spacing w:line="240" w:lineRule="auto"/>
    </w:pPr>
  </w:style>
  <w:style w:type="character" w:customStyle="1" w:styleId="a9">
    <w:name w:val="Нижний колонтитул Знак"/>
    <w:basedOn w:val="a0"/>
    <w:link w:val="a8"/>
    <w:uiPriority w:val="99"/>
    <w:rsid w:val="009613AF"/>
    <w:rPr>
      <w:rFonts w:eastAsia="Calibri"/>
      <w:szCs w:val="28"/>
    </w:rPr>
  </w:style>
  <w:style w:type="paragraph" w:customStyle="1" w:styleId="11">
    <w:name w:val="Обычный1"/>
    <w:rsid w:val="007E4482"/>
    <w:pPr>
      <w:widowControl w:val="0"/>
      <w:spacing w:line="240" w:lineRule="auto"/>
      <w:ind w:firstLine="0"/>
    </w:pPr>
    <w:rPr>
      <w:snapToGrid w:val="0"/>
      <w:sz w:val="20"/>
      <w:szCs w:val="20"/>
      <w:lang w:eastAsia="ru-RU"/>
    </w:rPr>
  </w:style>
  <w:style w:type="table" w:styleId="aa">
    <w:name w:val="Table Grid"/>
    <w:basedOn w:val="a1"/>
    <w:rsid w:val="00664480"/>
    <w:pPr>
      <w:spacing w:line="240" w:lineRule="auto"/>
      <w:ind w:firstLine="0"/>
    </w:pPr>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NX">
    <w:name w:val="NormalANX"/>
    <w:basedOn w:val="a"/>
    <w:rsid w:val="00664480"/>
    <w:pPr>
      <w:spacing w:before="240" w:after="240" w:line="360" w:lineRule="auto"/>
      <w:ind w:firstLine="720"/>
      <w:jc w:val="both"/>
    </w:pPr>
    <w:rPr>
      <w:rFonts w:eastAsia="Times New Roman"/>
      <w:szCs w:val="20"/>
      <w:lang w:eastAsia="ru-RU"/>
    </w:rPr>
  </w:style>
  <w:style w:type="paragraph" w:styleId="ab">
    <w:name w:val="Balloon Text"/>
    <w:basedOn w:val="a"/>
    <w:link w:val="ac"/>
    <w:uiPriority w:val="99"/>
    <w:semiHidden/>
    <w:unhideWhenUsed/>
    <w:rsid w:val="00E13D79"/>
    <w:pPr>
      <w:spacing w:line="240" w:lineRule="auto"/>
    </w:pPr>
    <w:rPr>
      <w:rFonts w:ascii="Tahoma" w:hAnsi="Tahoma" w:cs="Tahoma"/>
      <w:sz w:val="16"/>
      <w:szCs w:val="16"/>
    </w:rPr>
  </w:style>
  <w:style w:type="character" w:customStyle="1" w:styleId="ac">
    <w:name w:val="Текст выноски Знак"/>
    <w:basedOn w:val="a0"/>
    <w:link w:val="ab"/>
    <w:uiPriority w:val="99"/>
    <w:semiHidden/>
    <w:rsid w:val="00E13D79"/>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6659689">
      <w:bodyDiv w:val="1"/>
      <w:marLeft w:val="0"/>
      <w:marRight w:val="0"/>
      <w:marTop w:val="0"/>
      <w:marBottom w:val="0"/>
      <w:divBdr>
        <w:top w:val="none" w:sz="0" w:space="0" w:color="auto"/>
        <w:left w:val="none" w:sz="0" w:space="0" w:color="auto"/>
        <w:bottom w:val="none" w:sz="0" w:space="0" w:color="auto"/>
        <w:right w:val="none" w:sz="0" w:space="0" w:color="auto"/>
      </w:divBdr>
    </w:div>
    <w:div w:id="1967157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519796-AA3F-4298-BB75-6C9369C05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697</TotalTime>
  <Pages>1</Pages>
  <Words>7198</Words>
  <Characters>41031</Characters>
  <Application>Microsoft Office Word</Application>
  <DocSecurity>0</DocSecurity>
  <Lines>341</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48133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Долгих Евгений Алексеевич</dc:creator>
  <cp:keywords/>
  <dc:description/>
  <cp:lastModifiedBy>Долгих Евгений Алексеевич</cp:lastModifiedBy>
  <cp:revision>28</cp:revision>
  <cp:lastPrinted>2014-10-29T06:12:00Z</cp:lastPrinted>
  <dcterms:created xsi:type="dcterms:W3CDTF">2014-07-16T05:07:00Z</dcterms:created>
  <dcterms:modified xsi:type="dcterms:W3CDTF">2014-10-29T14:02:00Z</dcterms:modified>
</cp:coreProperties>
</file>